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1CA" w14:textId="5E35DEE8" w:rsidR="0006394F" w:rsidRPr="0006394F" w:rsidRDefault="0006394F" w:rsidP="0006394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 DIRECTOR GENERAL DE PERSONAL DOCENTE</w:t>
      </w:r>
    </w:p>
    <w:p w14:paraId="45A43753" w14:textId="444CCFE2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________________, con DNI nº ______________, correo electrónico ______________ y teléfono _______________,</w:t>
      </w:r>
      <w:r w:rsidRPr="0006394F">
        <w:rPr>
          <w:rFonts w:ascii="Arial" w:hAnsi="Arial" w:cs="Arial"/>
          <w:sz w:val="24"/>
          <w:szCs w:val="24"/>
        </w:rPr>
        <w:t xml:space="preserve"> ante esa Dirección General comparece y, como mejor proceda en Derecho,</w:t>
      </w:r>
    </w:p>
    <w:p w14:paraId="47EB33AF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EXPONE</w:t>
      </w:r>
    </w:p>
    <w:p w14:paraId="252A93D2" w14:textId="06974575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Primero</w:t>
      </w:r>
      <w:r w:rsidRPr="0006394F">
        <w:rPr>
          <w:rFonts w:ascii="Arial" w:hAnsi="Arial" w:cs="Arial"/>
          <w:sz w:val="24"/>
          <w:szCs w:val="24"/>
        </w:rPr>
        <w:t xml:space="preserve">.– Que ostenta la condición de funcionario/a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de carrera / interino)</w:t>
      </w:r>
      <w:r w:rsidRPr="0006394F">
        <w:rPr>
          <w:rFonts w:ascii="Arial" w:hAnsi="Arial" w:cs="Arial"/>
          <w:sz w:val="24"/>
          <w:szCs w:val="24"/>
        </w:rPr>
        <w:t xml:space="preserve"> docente de la Generalitat Valenciana, prestando servicios de forma ininterrumpida desde </w:t>
      </w:r>
      <w:r>
        <w:rPr>
          <w:rFonts w:ascii="Arial" w:hAnsi="Arial" w:cs="Arial"/>
          <w:b/>
          <w:bCs/>
          <w:sz w:val="24"/>
          <w:szCs w:val="24"/>
        </w:rPr>
        <w:t>_____________.</w:t>
      </w:r>
    </w:p>
    <w:p w14:paraId="6D75B18F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Segundo</w:t>
      </w:r>
      <w:r w:rsidRPr="0006394F">
        <w:rPr>
          <w:rFonts w:ascii="Arial" w:hAnsi="Arial" w:cs="Arial"/>
          <w:sz w:val="24"/>
          <w:szCs w:val="24"/>
        </w:rPr>
        <w:t xml:space="preserve">.– Que sus </w:t>
      </w:r>
      <w:r w:rsidRPr="0006394F">
        <w:rPr>
          <w:rFonts w:ascii="Arial" w:hAnsi="Arial" w:cs="Arial"/>
          <w:b/>
          <w:bCs/>
          <w:sz w:val="24"/>
          <w:szCs w:val="24"/>
        </w:rPr>
        <w:t>retribuciones mensuales ordinarias</w:t>
      </w:r>
      <w:r w:rsidRPr="0006394F">
        <w:rPr>
          <w:rFonts w:ascii="Arial" w:hAnsi="Arial" w:cs="Arial"/>
          <w:sz w:val="24"/>
          <w:szCs w:val="24"/>
        </w:rPr>
        <w:t xml:space="preserve"> se componen, entre otros, de los siguientes conceptos:</w:t>
      </w:r>
    </w:p>
    <w:p w14:paraId="5729A5B9" w14:textId="77777777" w:rsidR="0006394F" w:rsidRPr="0006394F" w:rsidRDefault="0006394F" w:rsidP="000639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Sueldo base del Subgrupo [A1/A2].</w:t>
      </w:r>
    </w:p>
    <w:p w14:paraId="73C77DE6" w14:textId="408A5E42" w:rsidR="0006394F" w:rsidRPr="0006394F" w:rsidRDefault="0006394F" w:rsidP="000639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Trienios correspondientes a su antigüedad</w:t>
      </w:r>
      <w:r w:rsidR="00A05E88">
        <w:rPr>
          <w:rFonts w:ascii="Arial" w:hAnsi="Arial" w:cs="Arial"/>
          <w:sz w:val="24"/>
          <w:szCs w:val="24"/>
        </w:rPr>
        <w:t xml:space="preserve"> y subgrupo</w:t>
      </w:r>
      <w:r w:rsidRPr="0006394F">
        <w:rPr>
          <w:rFonts w:ascii="Arial" w:hAnsi="Arial" w:cs="Arial"/>
          <w:sz w:val="24"/>
          <w:szCs w:val="24"/>
        </w:rPr>
        <w:t>.</w:t>
      </w:r>
    </w:p>
    <w:p w14:paraId="4735DCA3" w14:textId="77777777" w:rsidR="0006394F" w:rsidRPr="0006394F" w:rsidRDefault="0006394F" w:rsidP="000639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Complemento de destino.</w:t>
      </w:r>
    </w:p>
    <w:p w14:paraId="785E2B42" w14:textId="77777777" w:rsidR="0006394F" w:rsidRPr="0006394F" w:rsidRDefault="0006394F" w:rsidP="000639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Complemento específico.</w:t>
      </w:r>
    </w:p>
    <w:p w14:paraId="4FAE7F35" w14:textId="74504436" w:rsidR="0006394F" w:rsidRPr="0006394F" w:rsidRDefault="0006394F" w:rsidP="000639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Complemento por formación permanente (sexenios), regulado como componente retributivo vinculado a la formación continua del funcionariado docente. </w:t>
      </w:r>
    </w:p>
    <w:p w14:paraId="7452F462" w14:textId="77777777" w:rsidR="0006394F" w:rsidRPr="0006394F" w:rsidRDefault="0006394F" w:rsidP="0006394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En su caso, otros complementos fijos y periódicos ligados al puesto: jefatura de departamento, coordinación, cargos directivos u otros análogos.</w:t>
      </w:r>
    </w:p>
    <w:p w14:paraId="2D765587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Tercero</w:t>
      </w:r>
      <w:r w:rsidRPr="0006394F">
        <w:rPr>
          <w:rFonts w:ascii="Arial" w:hAnsi="Arial" w:cs="Arial"/>
          <w:sz w:val="24"/>
          <w:szCs w:val="24"/>
        </w:rPr>
        <w:t xml:space="preserve">.– Que, sin embargo, en las </w:t>
      </w:r>
      <w:r w:rsidRPr="0006394F">
        <w:rPr>
          <w:rFonts w:ascii="Arial" w:hAnsi="Arial" w:cs="Arial"/>
          <w:b/>
          <w:bCs/>
          <w:sz w:val="24"/>
          <w:szCs w:val="24"/>
        </w:rPr>
        <w:t>pagas extraordinarias de junio y diciembre</w:t>
      </w:r>
      <w:r w:rsidRPr="0006394F">
        <w:rPr>
          <w:rFonts w:ascii="Arial" w:hAnsi="Arial" w:cs="Arial"/>
          <w:sz w:val="24"/>
          <w:szCs w:val="24"/>
        </w:rPr>
        <w:t xml:space="preserve"> se le vienen abonando únicamente los siguientes conceptos:</w:t>
      </w:r>
    </w:p>
    <w:p w14:paraId="2FBBF4AF" w14:textId="77777777" w:rsidR="0006394F" w:rsidRPr="0006394F" w:rsidRDefault="0006394F" w:rsidP="0006394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El </w:t>
      </w:r>
      <w:r w:rsidRPr="0006394F">
        <w:rPr>
          <w:rFonts w:ascii="Arial" w:hAnsi="Arial" w:cs="Arial"/>
          <w:b/>
          <w:bCs/>
          <w:sz w:val="24"/>
          <w:szCs w:val="24"/>
        </w:rPr>
        <w:t>70 % del sueldo base</w:t>
      </w:r>
      <w:r w:rsidRPr="0006394F">
        <w:rPr>
          <w:rFonts w:ascii="Arial" w:hAnsi="Arial" w:cs="Arial"/>
          <w:sz w:val="24"/>
          <w:szCs w:val="24"/>
        </w:rPr>
        <w:t>.</w:t>
      </w:r>
    </w:p>
    <w:p w14:paraId="58A6B2D7" w14:textId="77777777" w:rsidR="0006394F" w:rsidRPr="0006394F" w:rsidRDefault="0006394F" w:rsidP="0006394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El </w:t>
      </w:r>
      <w:r w:rsidRPr="0006394F">
        <w:rPr>
          <w:rFonts w:ascii="Arial" w:hAnsi="Arial" w:cs="Arial"/>
          <w:b/>
          <w:bCs/>
          <w:sz w:val="24"/>
          <w:szCs w:val="24"/>
        </w:rPr>
        <w:t>70 % de los trienios</w:t>
      </w:r>
      <w:r w:rsidRPr="0006394F">
        <w:rPr>
          <w:rFonts w:ascii="Arial" w:hAnsi="Arial" w:cs="Arial"/>
          <w:sz w:val="24"/>
          <w:szCs w:val="24"/>
        </w:rPr>
        <w:t>.</w:t>
      </w:r>
    </w:p>
    <w:p w14:paraId="0E27D712" w14:textId="77777777" w:rsidR="0006394F" w:rsidRPr="0006394F" w:rsidRDefault="0006394F" w:rsidP="0006394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El </w:t>
      </w:r>
      <w:r w:rsidRPr="0006394F">
        <w:rPr>
          <w:rFonts w:ascii="Arial" w:hAnsi="Arial" w:cs="Arial"/>
          <w:b/>
          <w:bCs/>
          <w:sz w:val="24"/>
          <w:szCs w:val="24"/>
        </w:rPr>
        <w:t>100 % del complemento de destino</w:t>
      </w:r>
      <w:r w:rsidRPr="0006394F">
        <w:rPr>
          <w:rFonts w:ascii="Arial" w:hAnsi="Arial" w:cs="Arial"/>
          <w:sz w:val="24"/>
          <w:szCs w:val="24"/>
        </w:rPr>
        <w:t>.</w:t>
      </w:r>
    </w:p>
    <w:p w14:paraId="297295C6" w14:textId="77777777" w:rsidR="0006394F" w:rsidRPr="0006394F" w:rsidRDefault="0006394F" w:rsidP="0006394F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El </w:t>
      </w:r>
      <w:r w:rsidRPr="0006394F">
        <w:rPr>
          <w:rFonts w:ascii="Arial" w:hAnsi="Arial" w:cs="Arial"/>
          <w:b/>
          <w:bCs/>
          <w:sz w:val="24"/>
          <w:szCs w:val="24"/>
        </w:rPr>
        <w:t>100 % del complemento específico</w:t>
      </w:r>
      <w:r w:rsidRPr="0006394F">
        <w:rPr>
          <w:rFonts w:ascii="Arial" w:hAnsi="Arial" w:cs="Arial"/>
          <w:sz w:val="24"/>
          <w:szCs w:val="24"/>
        </w:rPr>
        <w:t>.</w:t>
      </w:r>
    </w:p>
    <w:p w14:paraId="2BE8844E" w14:textId="37AD0B18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lastRenderedPageBreak/>
        <w:t>Sin que se incluyan en dichas pagas extraordinarias los sexenios ni los complementos derivados de jefaturas, cargos directivos u otros complementos fijos y periódicos.</w:t>
      </w:r>
    </w:p>
    <w:p w14:paraId="122860BB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Cuarto</w:t>
      </w:r>
      <w:r w:rsidRPr="0006394F">
        <w:rPr>
          <w:rFonts w:ascii="Arial" w:hAnsi="Arial" w:cs="Arial"/>
          <w:sz w:val="24"/>
          <w:szCs w:val="24"/>
        </w:rPr>
        <w:t xml:space="preserve">.– Que el </w:t>
      </w:r>
      <w:r w:rsidRPr="0006394F">
        <w:rPr>
          <w:rFonts w:ascii="Arial" w:hAnsi="Arial" w:cs="Arial"/>
          <w:b/>
          <w:bCs/>
          <w:sz w:val="24"/>
          <w:szCs w:val="24"/>
        </w:rPr>
        <w:t>artículo 22</w:t>
      </w:r>
      <w:r w:rsidRPr="0006394F">
        <w:rPr>
          <w:rFonts w:ascii="Arial" w:hAnsi="Arial" w:cs="Arial"/>
          <w:sz w:val="24"/>
          <w:szCs w:val="24"/>
        </w:rPr>
        <w:t xml:space="preserve"> del Real Decreto Legislativo 5/2015, de 30 de octubre, por el que se aprueba el texto refundido de la Ley del Estatuto Básico del Empleado Público (EBEP), establece que:</w:t>
      </w:r>
    </w:p>
    <w:p w14:paraId="3213A8D9" w14:textId="77777777" w:rsidR="0006394F" w:rsidRPr="0006394F" w:rsidRDefault="0006394F" w:rsidP="0006394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Las retribuciones de los funcionarios se clasifican en </w:t>
      </w:r>
      <w:r w:rsidRPr="0006394F">
        <w:rPr>
          <w:rFonts w:ascii="Arial" w:hAnsi="Arial" w:cs="Arial"/>
          <w:b/>
          <w:bCs/>
          <w:sz w:val="24"/>
          <w:szCs w:val="24"/>
        </w:rPr>
        <w:t>básicas y complementarias</w:t>
      </w:r>
      <w:r w:rsidRPr="0006394F">
        <w:rPr>
          <w:rFonts w:ascii="Arial" w:hAnsi="Arial" w:cs="Arial"/>
          <w:sz w:val="24"/>
          <w:szCs w:val="24"/>
        </w:rPr>
        <w:t>.</w:t>
      </w:r>
    </w:p>
    <w:p w14:paraId="3741482D" w14:textId="4655B9FD" w:rsidR="0006394F" w:rsidRPr="0006394F" w:rsidRDefault="0006394F" w:rsidP="0006394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Dentro de las retribuciones básicas están comprendidos el sueldo y los trienios, incluidos sus componentes en las pagas extraordinarias. </w:t>
      </w:r>
    </w:p>
    <w:p w14:paraId="5E7ABACA" w14:textId="61CCE7D0" w:rsidR="0006394F" w:rsidRPr="0006394F" w:rsidRDefault="0006394F" w:rsidP="0006394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Y, de forma expresa, que </w:t>
      </w:r>
      <w:r w:rsidRPr="0006394F">
        <w:rPr>
          <w:rFonts w:ascii="Arial" w:hAnsi="Arial" w:cs="Arial"/>
          <w:b/>
          <w:bCs/>
          <w:sz w:val="24"/>
          <w:szCs w:val="24"/>
        </w:rPr>
        <w:t>“las pagas extraordinarias serán dos al año, cada una por el importe de una mensualidad de retribuciones básicas y de la totalidad de las retribuciones complementarias, salvo aquéllas a las que se refieren los apartados c) y d) del artículo 24”</w:t>
      </w:r>
      <w:r w:rsidRPr="0006394F">
        <w:rPr>
          <w:rFonts w:ascii="Arial" w:hAnsi="Arial" w:cs="Arial"/>
          <w:sz w:val="24"/>
          <w:szCs w:val="24"/>
        </w:rPr>
        <w:t xml:space="preserve"> (productividad y servicios extraordinarios). </w:t>
      </w:r>
    </w:p>
    <w:p w14:paraId="255CCC6C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Es decir, la norma básica estatal garantiza que cada paga extraordinaria debe equivaler a </w:t>
      </w:r>
      <w:r w:rsidRPr="0006394F">
        <w:rPr>
          <w:rFonts w:ascii="Arial" w:hAnsi="Arial" w:cs="Arial"/>
          <w:b/>
          <w:bCs/>
          <w:sz w:val="24"/>
          <w:szCs w:val="24"/>
        </w:rPr>
        <w:t>una mensualidad completa de retribuciones básicas (100 % del sueldo y de los trienios) y de la totalidad de las retribuciones complementarias</w:t>
      </w:r>
      <w:r w:rsidRPr="0006394F">
        <w:rPr>
          <w:rFonts w:ascii="Arial" w:hAnsi="Arial" w:cs="Arial"/>
          <w:sz w:val="24"/>
          <w:szCs w:val="24"/>
        </w:rPr>
        <w:t>, excluyendo únicamente la productividad y las gratificaciones por servicios extraordinarios.</w:t>
      </w:r>
    </w:p>
    <w:p w14:paraId="741B1A6E" w14:textId="0CE60CA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Quinto</w:t>
      </w:r>
      <w:r w:rsidRPr="0006394F">
        <w:rPr>
          <w:rFonts w:ascii="Arial" w:hAnsi="Arial" w:cs="Arial"/>
          <w:sz w:val="24"/>
          <w:szCs w:val="24"/>
        </w:rPr>
        <w:t xml:space="preserve">.– Que la reciente jurisprudencia del </w:t>
      </w:r>
      <w:r w:rsidRPr="0006394F">
        <w:rPr>
          <w:rFonts w:ascii="Arial" w:hAnsi="Arial" w:cs="Arial"/>
          <w:b/>
          <w:bCs/>
          <w:sz w:val="24"/>
          <w:szCs w:val="24"/>
        </w:rPr>
        <w:t>Tribunal Supremo</w:t>
      </w:r>
      <w:r w:rsidRPr="0006394F">
        <w:rPr>
          <w:rFonts w:ascii="Arial" w:hAnsi="Arial" w:cs="Arial"/>
          <w:sz w:val="24"/>
          <w:szCs w:val="24"/>
        </w:rPr>
        <w:t xml:space="preserve"> ha consolidado el criterio de que los complementos percibidos de forma </w:t>
      </w:r>
      <w:r w:rsidRPr="0006394F">
        <w:rPr>
          <w:rFonts w:ascii="Arial" w:hAnsi="Arial" w:cs="Arial"/>
          <w:b/>
          <w:bCs/>
          <w:sz w:val="24"/>
          <w:szCs w:val="24"/>
        </w:rPr>
        <w:t>habitual y regular</w:t>
      </w:r>
      <w:r w:rsidRPr="0006394F">
        <w:rPr>
          <w:rFonts w:ascii="Arial" w:hAnsi="Arial" w:cs="Arial"/>
          <w:sz w:val="24"/>
          <w:szCs w:val="24"/>
        </w:rPr>
        <w:t xml:space="preserve"> (como los derivados de turnos, nocturnidad, festivos, guardias o formación) constituyen </w:t>
      </w:r>
      <w:r w:rsidRPr="0006394F">
        <w:rPr>
          <w:rFonts w:ascii="Arial" w:hAnsi="Arial" w:cs="Arial"/>
          <w:b/>
          <w:bCs/>
          <w:sz w:val="24"/>
          <w:szCs w:val="24"/>
        </w:rPr>
        <w:t>salario estructural</w:t>
      </w:r>
      <w:r w:rsidRPr="0006394F">
        <w:rPr>
          <w:rFonts w:ascii="Arial" w:hAnsi="Arial" w:cs="Arial"/>
          <w:sz w:val="24"/>
          <w:szCs w:val="24"/>
        </w:rPr>
        <w:t xml:space="preserve"> y deben integrarse en las pagas extraordinarias, vacaciones y otras situaciones retribuidas, sin que puedan ser excluidos por normas presupuestarias autonómicas o reglamentarias que contradigan el EBEP. </w:t>
      </w:r>
    </w:p>
    <w:p w14:paraId="4ED1EDF0" w14:textId="0CEA26BA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En particular, la </w:t>
      </w:r>
      <w:r w:rsidRPr="0006394F">
        <w:rPr>
          <w:rFonts w:ascii="Arial" w:hAnsi="Arial" w:cs="Arial"/>
          <w:b/>
          <w:bCs/>
          <w:sz w:val="24"/>
          <w:szCs w:val="24"/>
        </w:rPr>
        <w:t>STS 4420/2025, de 2 de octubre</w:t>
      </w:r>
      <w:r w:rsidRPr="0006394F">
        <w:rPr>
          <w:rFonts w:ascii="Arial" w:hAnsi="Arial" w:cs="Arial"/>
          <w:sz w:val="24"/>
          <w:szCs w:val="24"/>
        </w:rPr>
        <w:t xml:space="preserve">, declara que las Leyes de Presupuestos y normas inferiores </w:t>
      </w:r>
      <w:r w:rsidRPr="0006394F">
        <w:rPr>
          <w:rFonts w:ascii="Arial" w:hAnsi="Arial" w:cs="Arial"/>
          <w:b/>
          <w:bCs/>
          <w:sz w:val="24"/>
          <w:szCs w:val="24"/>
        </w:rPr>
        <w:t>no pueden empeorar lo dispuesto en el art. 22.4 EBEP</w:t>
      </w:r>
      <w:r w:rsidRPr="0006394F">
        <w:rPr>
          <w:rFonts w:ascii="Arial" w:hAnsi="Arial" w:cs="Arial"/>
          <w:sz w:val="24"/>
          <w:szCs w:val="24"/>
        </w:rPr>
        <w:t xml:space="preserve">, y obliga a incluir en las pagas extraordinarias los complementos salariales percibidos de forma estable por los empleados públicos. </w:t>
      </w:r>
    </w:p>
    <w:p w14:paraId="66A1F351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lastRenderedPageBreak/>
        <w:t>Sexto</w:t>
      </w:r>
      <w:r w:rsidRPr="0006394F">
        <w:rPr>
          <w:rFonts w:ascii="Arial" w:hAnsi="Arial" w:cs="Arial"/>
          <w:sz w:val="24"/>
          <w:szCs w:val="24"/>
        </w:rPr>
        <w:t>.– Que el complemento de formación permanente (sexenios) y los complementos por jefatura de departamento, cargos directivos u otros análogos:</w:t>
      </w:r>
    </w:p>
    <w:p w14:paraId="6E00502D" w14:textId="77777777" w:rsidR="0006394F" w:rsidRPr="0006394F" w:rsidRDefault="0006394F" w:rsidP="000639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se devengan de forma </w:t>
      </w:r>
      <w:r w:rsidRPr="0006394F">
        <w:rPr>
          <w:rFonts w:ascii="Arial" w:hAnsi="Arial" w:cs="Arial"/>
          <w:b/>
          <w:bCs/>
          <w:sz w:val="24"/>
          <w:szCs w:val="24"/>
        </w:rPr>
        <w:t>fija y periódica</w:t>
      </w:r>
      <w:r w:rsidRPr="0006394F">
        <w:rPr>
          <w:rFonts w:ascii="Arial" w:hAnsi="Arial" w:cs="Arial"/>
          <w:sz w:val="24"/>
          <w:szCs w:val="24"/>
        </w:rPr>
        <w:t xml:space="preserve"> mientras se mantenga el cumplimiento de los requisitos (sexenios) o la asignación del puesto (jefaturas y cargos),</w:t>
      </w:r>
    </w:p>
    <w:p w14:paraId="1D10C1D1" w14:textId="77777777" w:rsidR="0006394F" w:rsidRPr="0006394F" w:rsidRDefault="0006394F" w:rsidP="0006394F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no dependen de una valoración discrecional del rendimiento ni de la realización ocasional de servicios extraordinarios,</w:t>
      </w:r>
    </w:p>
    <w:p w14:paraId="26E81EF5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por lo que deben ser considerados </w:t>
      </w:r>
      <w:r w:rsidRPr="0006394F">
        <w:rPr>
          <w:rFonts w:ascii="Arial" w:hAnsi="Arial" w:cs="Arial"/>
          <w:b/>
          <w:bCs/>
          <w:sz w:val="24"/>
          <w:szCs w:val="24"/>
        </w:rPr>
        <w:t>retribuciones complementarias de carácter estructural</w:t>
      </w:r>
      <w:r w:rsidRPr="0006394F">
        <w:rPr>
          <w:rFonts w:ascii="Arial" w:hAnsi="Arial" w:cs="Arial"/>
          <w:sz w:val="24"/>
          <w:szCs w:val="24"/>
        </w:rPr>
        <w:t xml:space="preserve"> incluidas en la “totalidad de las retribuciones complementarias” a que se refiere el artículo 22.4 EBEP, y no pueden quedar excluidos por normas de rango inferior.</w:t>
      </w:r>
    </w:p>
    <w:p w14:paraId="31F8610A" w14:textId="0DDC5E34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Séptimo</w:t>
      </w:r>
      <w:r w:rsidRPr="0006394F">
        <w:rPr>
          <w:rFonts w:ascii="Arial" w:hAnsi="Arial" w:cs="Arial"/>
          <w:sz w:val="24"/>
          <w:szCs w:val="24"/>
        </w:rPr>
        <w:t xml:space="preserve">.– Que la práctica actual de abonar en las pagas extraordinarias únicamente el </w:t>
      </w:r>
      <w:r w:rsidRPr="0006394F">
        <w:rPr>
          <w:rFonts w:ascii="Arial" w:hAnsi="Arial" w:cs="Arial"/>
          <w:b/>
          <w:bCs/>
          <w:sz w:val="24"/>
          <w:szCs w:val="24"/>
        </w:rPr>
        <w:t>70 % del sueldo y de los trienios</w:t>
      </w:r>
      <w:r w:rsidRPr="0006394F">
        <w:rPr>
          <w:rFonts w:ascii="Arial" w:hAnsi="Arial" w:cs="Arial"/>
          <w:sz w:val="24"/>
          <w:szCs w:val="24"/>
        </w:rPr>
        <w:t xml:space="preserve"> y de no incluir determinados complementos fijos y periódicos (como los sexenios y los complementos por cargos) </w:t>
      </w:r>
      <w:r w:rsidRPr="0006394F">
        <w:rPr>
          <w:rFonts w:ascii="Arial" w:hAnsi="Arial" w:cs="Arial"/>
          <w:b/>
          <w:bCs/>
          <w:sz w:val="24"/>
          <w:szCs w:val="24"/>
        </w:rPr>
        <w:t>vulnera lo dispuesto en el art. 22.4 EBEP</w:t>
      </w:r>
      <w:r w:rsidRPr="0006394F">
        <w:rPr>
          <w:rFonts w:ascii="Arial" w:hAnsi="Arial" w:cs="Arial"/>
          <w:sz w:val="24"/>
          <w:szCs w:val="24"/>
        </w:rPr>
        <w:t xml:space="preserve"> y la doctrina consolidada del Tribunal Supremo, suponiendo un recorte retributivo no amparado por la normativa básica. </w:t>
      </w:r>
    </w:p>
    <w:p w14:paraId="20AF93C7" w14:textId="5A169FF2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Octavo</w:t>
      </w:r>
      <w:r w:rsidRPr="0006394F">
        <w:rPr>
          <w:rFonts w:ascii="Arial" w:hAnsi="Arial" w:cs="Arial"/>
          <w:sz w:val="24"/>
          <w:szCs w:val="24"/>
        </w:rPr>
        <w:t xml:space="preserve">.– Que, de acuerdo con el régimen general de prescripción de derechos de naturaleza retributiva en el sector público, las diferencias dejadas de percibir pueden reclamarse con un límite de </w:t>
      </w:r>
      <w:r w:rsidRPr="0006394F">
        <w:rPr>
          <w:rFonts w:ascii="Arial" w:hAnsi="Arial" w:cs="Arial"/>
          <w:b/>
          <w:bCs/>
          <w:sz w:val="24"/>
          <w:szCs w:val="24"/>
        </w:rPr>
        <w:t>cuatro años</w:t>
      </w:r>
      <w:r w:rsidRPr="0006394F">
        <w:rPr>
          <w:rFonts w:ascii="Arial" w:hAnsi="Arial" w:cs="Arial"/>
          <w:sz w:val="24"/>
          <w:szCs w:val="24"/>
        </w:rPr>
        <w:t xml:space="preserve"> hacia atrás desde la fecha de esta solicitud. </w:t>
      </w:r>
    </w:p>
    <w:p w14:paraId="0AC4F64A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Por todo lo expuesto,</w:t>
      </w:r>
    </w:p>
    <w:p w14:paraId="412922D0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SOLICITA</w:t>
      </w:r>
    </w:p>
    <w:p w14:paraId="62296CA9" w14:textId="3102E374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Primero</w:t>
      </w:r>
      <w:r w:rsidRPr="0006394F">
        <w:rPr>
          <w:rFonts w:ascii="Arial" w:hAnsi="Arial" w:cs="Arial"/>
          <w:sz w:val="24"/>
          <w:szCs w:val="24"/>
        </w:rPr>
        <w:t xml:space="preserve">.– Que se reconozca el derecho del/de la compareciente a percibir las </w:t>
      </w:r>
      <w:r w:rsidRPr="0006394F">
        <w:rPr>
          <w:rFonts w:ascii="Arial" w:hAnsi="Arial" w:cs="Arial"/>
          <w:b/>
          <w:bCs/>
          <w:sz w:val="24"/>
          <w:szCs w:val="24"/>
        </w:rPr>
        <w:t>pagas extraordinarias de junio y diciembre</w:t>
      </w:r>
      <w:r w:rsidRPr="0006394F">
        <w:rPr>
          <w:rFonts w:ascii="Arial" w:hAnsi="Arial" w:cs="Arial"/>
          <w:sz w:val="24"/>
          <w:szCs w:val="24"/>
        </w:rPr>
        <w:t xml:space="preserve"> por el importe de </w:t>
      </w:r>
      <w:r w:rsidRPr="0006394F">
        <w:rPr>
          <w:rFonts w:ascii="Arial" w:hAnsi="Arial" w:cs="Arial"/>
          <w:b/>
          <w:bCs/>
          <w:sz w:val="24"/>
          <w:szCs w:val="24"/>
        </w:rPr>
        <w:t>una mensualidad íntegra de retribuciones básicas (100 % del sueldo y de los trienios) y de la totalidad de las retribuciones complementarias</w:t>
      </w:r>
      <w:r w:rsidRPr="0006394F">
        <w:rPr>
          <w:rFonts w:ascii="Arial" w:hAnsi="Arial" w:cs="Arial"/>
          <w:sz w:val="24"/>
          <w:szCs w:val="24"/>
        </w:rPr>
        <w:t xml:space="preserve">, de conformidad con el artículo 22.4 EBEP, excluyendo únicamente, en su caso, los conceptos de productividad y gratificaciones por servicios extraordinarios del artículo 24 c) y d) de dicho texto legal. </w:t>
      </w:r>
    </w:p>
    <w:p w14:paraId="6A3A8D32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lastRenderedPageBreak/>
        <w:t>Segundo</w:t>
      </w:r>
      <w:r w:rsidRPr="0006394F">
        <w:rPr>
          <w:rFonts w:ascii="Arial" w:hAnsi="Arial" w:cs="Arial"/>
          <w:sz w:val="24"/>
          <w:szCs w:val="24"/>
        </w:rPr>
        <w:t>.– Que, en consecuencia, se proceda a:</w:t>
      </w:r>
    </w:p>
    <w:p w14:paraId="6347B664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a) </w:t>
      </w:r>
      <w:r w:rsidRPr="0006394F">
        <w:rPr>
          <w:rFonts w:ascii="Arial" w:hAnsi="Arial" w:cs="Arial"/>
          <w:b/>
          <w:bCs/>
          <w:sz w:val="24"/>
          <w:szCs w:val="24"/>
        </w:rPr>
        <w:t>Recalcular</w:t>
      </w:r>
      <w:r w:rsidRPr="0006394F">
        <w:rPr>
          <w:rFonts w:ascii="Arial" w:hAnsi="Arial" w:cs="Arial"/>
          <w:sz w:val="24"/>
          <w:szCs w:val="24"/>
        </w:rPr>
        <w:t xml:space="preserve"> las pagas extraordinarias devengadas en los últimos </w:t>
      </w:r>
      <w:r w:rsidRPr="0006394F">
        <w:rPr>
          <w:rFonts w:ascii="Arial" w:hAnsi="Arial" w:cs="Arial"/>
          <w:b/>
          <w:bCs/>
          <w:sz w:val="24"/>
          <w:szCs w:val="24"/>
        </w:rPr>
        <w:t>cuatro años</w:t>
      </w:r>
      <w:r w:rsidRPr="0006394F">
        <w:rPr>
          <w:rFonts w:ascii="Arial" w:hAnsi="Arial" w:cs="Arial"/>
          <w:sz w:val="24"/>
          <w:szCs w:val="24"/>
        </w:rPr>
        <w:t>, incluyendo:</w:t>
      </w:r>
    </w:p>
    <w:p w14:paraId="512D0480" w14:textId="77777777" w:rsidR="0006394F" w:rsidRPr="0006394F" w:rsidRDefault="0006394F" w:rsidP="0006394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el </w:t>
      </w:r>
      <w:r w:rsidRPr="0006394F">
        <w:rPr>
          <w:rFonts w:ascii="Arial" w:hAnsi="Arial" w:cs="Arial"/>
          <w:b/>
          <w:bCs/>
          <w:sz w:val="24"/>
          <w:szCs w:val="24"/>
        </w:rPr>
        <w:t>100 % del sueldo base y de los trienios</w:t>
      </w:r>
      <w:r w:rsidRPr="0006394F">
        <w:rPr>
          <w:rFonts w:ascii="Arial" w:hAnsi="Arial" w:cs="Arial"/>
          <w:sz w:val="24"/>
          <w:szCs w:val="24"/>
        </w:rPr>
        <w:t>,</w:t>
      </w:r>
    </w:p>
    <w:p w14:paraId="47128B1A" w14:textId="77777777" w:rsidR="0006394F" w:rsidRPr="0006394F" w:rsidRDefault="0006394F" w:rsidP="0006394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y todos los complementos fijos y periódicos percibidos por el/la solicitante (en particular, el complemento de formación permanente –sexenios– y, en su caso, los complementos de jefatura de departamento, cargos directivos u otros análogos),</w:t>
      </w:r>
    </w:p>
    <w:p w14:paraId="2D6F2DCD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>y</w:t>
      </w:r>
    </w:p>
    <w:p w14:paraId="1D3CE4A5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sz w:val="24"/>
          <w:szCs w:val="24"/>
        </w:rPr>
        <w:t xml:space="preserve">b) </w:t>
      </w:r>
      <w:r w:rsidRPr="0006394F">
        <w:rPr>
          <w:rFonts w:ascii="Arial" w:hAnsi="Arial" w:cs="Arial"/>
          <w:b/>
          <w:bCs/>
          <w:sz w:val="24"/>
          <w:szCs w:val="24"/>
        </w:rPr>
        <w:t>Abonar las diferencias retributivas</w:t>
      </w:r>
      <w:r w:rsidRPr="0006394F">
        <w:rPr>
          <w:rFonts w:ascii="Arial" w:hAnsi="Arial" w:cs="Arial"/>
          <w:sz w:val="24"/>
          <w:szCs w:val="24"/>
        </w:rPr>
        <w:t xml:space="preserve"> resultantes, con los intereses que procedan, así como regularizar las cotizaciones que correspondan.</w:t>
      </w:r>
    </w:p>
    <w:p w14:paraId="441C593F" w14:textId="77777777" w:rsidR="0006394F" w:rsidRPr="0006394F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394F">
        <w:rPr>
          <w:rFonts w:ascii="Arial" w:hAnsi="Arial" w:cs="Arial"/>
          <w:b/>
          <w:bCs/>
          <w:sz w:val="24"/>
          <w:szCs w:val="24"/>
        </w:rPr>
        <w:t>Tercero</w:t>
      </w:r>
      <w:r w:rsidRPr="0006394F">
        <w:rPr>
          <w:rFonts w:ascii="Arial" w:hAnsi="Arial" w:cs="Arial"/>
          <w:sz w:val="24"/>
          <w:szCs w:val="24"/>
        </w:rPr>
        <w:t xml:space="preserve">.– Que se dicte </w:t>
      </w:r>
      <w:r w:rsidRPr="0006394F">
        <w:rPr>
          <w:rFonts w:ascii="Arial" w:hAnsi="Arial" w:cs="Arial"/>
          <w:b/>
          <w:bCs/>
          <w:sz w:val="24"/>
          <w:szCs w:val="24"/>
        </w:rPr>
        <w:t>resolución expresa y motivada</w:t>
      </w:r>
      <w:r w:rsidRPr="0006394F">
        <w:rPr>
          <w:rFonts w:ascii="Arial" w:hAnsi="Arial" w:cs="Arial"/>
          <w:sz w:val="24"/>
          <w:szCs w:val="24"/>
        </w:rPr>
        <w:t xml:space="preserve"> sobre la presente solicitud, con indicación de los recursos administrativos y jurisdiccionales procedentes.</w:t>
      </w:r>
    </w:p>
    <w:p w14:paraId="4D4687B3" w14:textId="26B5F49A" w:rsidR="002057C9" w:rsidRDefault="0006394F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___________, a ______ de _____ de 2025.</w:t>
      </w:r>
    </w:p>
    <w:p w14:paraId="122C08F6" w14:textId="77777777" w:rsidR="00CB15A4" w:rsidRPr="0006394F" w:rsidRDefault="00CB15A4" w:rsidP="000639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B15A4" w:rsidRPr="000639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58"/>
    <w:multiLevelType w:val="multilevel"/>
    <w:tmpl w:val="A072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5307F"/>
    <w:multiLevelType w:val="multilevel"/>
    <w:tmpl w:val="6ED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6728B"/>
    <w:multiLevelType w:val="multilevel"/>
    <w:tmpl w:val="25A0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76075"/>
    <w:multiLevelType w:val="multilevel"/>
    <w:tmpl w:val="7830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26D52"/>
    <w:multiLevelType w:val="multilevel"/>
    <w:tmpl w:val="64F4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68990">
    <w:abstractNumId w:val="2"/>
  </w:num>
  <w:num w:numId="2" w16cid:durableId="485441602">
    <w:abstractNumId w:val="1"/>
  </w:num>
  <w:num w:numId="3" w16cid:durableId="1280379690">
    <w:abstractNumId w:val="4"/>
  </w:num>
  <w:num w:numId="4" w16cid:durableId="1237129029">
    <w:abstractNumId w:val="0"/>
  </w:num>
  <w:num w:numId="5" w16cid:durableId="1018969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4F"/>
    <w:rsid w:val="0006394F"/>
    <w:rsid w:val="002057C9"/>
    <w:rsid w:val="00272400"/>
    <w:rsid w:val="004370DB"/>
    <w:rsid w:val="007E1559"/>
    <w:rsid w:val="00A05E88"/>
    <w:rsid w:val="00BA33A2"/>
    <w:rsid w:val="00BD4E99"/>
    <w:rsid w:val="00C61881"/>
    <w:rsid w:val="00CB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8095"/>
  <w15:chartTrackingRefBased/>
  <w15:docId w15:val="{16E90AB1-2BDE-4B82-8859-94BE167E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3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3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3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3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39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39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39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39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39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39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3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3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39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39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39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39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394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6394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890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Navarro Gimeno</dc:creator>
  <cp:keywords/>
  <dc:description/>
  <cp:lastModifiedBy>Eduardo Navarro Gimeno</cp:lastModifiedBy>
  <cp:revision>6</cp:revision>
  <dcterms:created xsi:type="dcterms:W3CDTF">2025-11-17T16:33:00Z</dcterms:created>
  <dcterms:modified xsi:type="dcterms:W3CDTF">2025-11-17T17:11:00Z</dcterms:modified>
</cp:coreProperties>
</file>