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9D48F" w14:textId="77777777" w:rsidR="009D194E" w:rsidRDefault="009D194E"/>
    <w:p w14:paraId="280387CD" w14:textId="77777777" w:rsidR="004935E3" w:rsidRDefault="004935E3" w:rsidP="00904429">
      <w:pPr>
        <w:contextualSpacing/>
      </w:pPr>
    </w:p>
    <w:p w14:paraId="7FBE6038" w14:textId="3F78B30B" w:rsidR="004935E3" w:rsidRDefault="004935E3" w:rsidP="00904429">
      <w:pPr>
        <w:spacing w:before="100" w:beforeAutospacing="1" w:after="100" w:afterAutospacing="1"/>
        <w:contextualSpacing/>
        <w:jc w:val="both"/>
        <w:outlineLvl w:val="1"/>
        <w:rPr>
          <w:rFonts w:ascii="Arial" w:eastAsia="Times New Roman" w:hAnsi="Arial" w:cs="Arial"/>
          <w:b/>
          <w:bCs/>
          <w:kern w:val="0"/>
          <w:sz w:val="22"/>
          <w:szCs w:val="22"/>
          <w:lang w:val="es-ES" w:eastAsia="es-ES"/>
        </w:rPr>
      </w:pPr>
      <w:r>
        <w:rPr>
          <w:rFonts w:ascii="Arial" w:eastAsia="Times New Roman" w:hAnsi="Arial" w:cs="Arial"/>
          <w:b/>
          <w:bCs/>
          <w:kern w:val="0"/>
          <w:sz w:val="22"/>
          <w:szCs w:val="22"/>
          <w:lang w:val="es-ES" w:eastAsia="es-ES"/>
        </w:rPr>
        <w:t>INFRAESTRUCTURAS EDUCATIVAS</w:t>
      </w:r>
    </w:p>
    <w:p w14:paraId="4D300643" w14:textId="77777777" w:rsidR="004935E3" w:rsidRDefault="004935E3" w:rsidP="00904429">
      <w:pPr>
        <w:spacing w:before="100" w:beforeAutospacing="1" w:after="100" w:afterAutospacing="1"/>
        <w:contextualSpacing/>
        <w:jc w:val="both"/>
        <w:outlineLvl w:val="1"/>
        <w:rPr>
          <w:rFonts w:ascii="Arial" w:eastAsia="Times New Roman" w:hAnsi="Arial" w:cs="Arial"/>
          <w:b/>
          <w:bCs/>
          <w:kern w:val="0"/>
          <w:sz w:val="22"/>
          <w:szCs w:val="22"/>
          <w:lang w:val="es-ES" w:eastAsia="es-ES"/>
        </w:rPr>
      </w:pPr>
    </w:p>
    <w:p w14:paraId="457E46CB" w14:textId="07FE672E" w:rsidR="004935E3" w:rsidRDefault="004935E3" w:rsidP="00904429">
      <w:pPr>
        <w:widowControl/>
        <w:numPr>
          <w:ilvl w:val="0"/>
          <w:numId w:val="1"/>
        </w:numPr>
        <w:suppressAutoHyphens w:val="0"/>
        <w:spacing w:before="100" w:beforeAutospacing="1" w:after="120"/>
        <w:ind w:left="714" w:hanging="357"/>
        <w:contextualSpacing/>
        <w:jc w:val="both"/>
        <w:rPr>
          <w:rFonts w:ascii="Arial" w:eastAsia="Times New Roman" w:hAnsi="Arial" w:cs="Arial"/>
          <w:kern w:val="0"/>
          <w:sz w:val="22"/>
          <w:szCs w:val="22"/>
          <w:lang w:val="es-ES" w:eastAsia="es-ES"/>
        </w:rPr>
      </w:pPr>
      <w:r>
        <w:rPr>
          <w:rFonts w:ascii="Arial" w:eastAsia="Times New Roman" w:hAnsi="Arial" w:cs="Arial"/>
          <w:kern w:val="0"/>
          <w:sz w:val="22"/>
          <w:szCs w:val="22"/>
          <w:lang w:val="es-ES" w:eastAsia="es-ES"/>
        </w:rPr>
        <w:t xml:space="preserve">Puesta en marcha de un </w:t>
      </w:r>
      <w:r>
        <w:rPr>
          <w:rFonts w:ascii="Arial" w:eastAsia="Times New Roman" w:hAnsi="Arial" w:cs="Arial"/>
          <w:b/>
          <w:bCs/>
          <w:kern w:val="0"/>
          <w:sz w:val="22"/>
          <w:szCs w:val="22"/>
          <w:lang w:val="es-ES" w:eastAsia="es-ES"/>
        </w:rPr>
        <w:t xml:space="preserve">Plan Director de Infraestructuras Educativas </w:t>
      </w:r>
      <w:r>
        <w:rPr>
          <w:rFonts w:ascii="Arial" w:eastAsia="Times New Roman" w:hAnsi="Arial" w:cs="Arial"/>
          <w:kern w:val="0"/>
          <w:sz w:val="22"/>
          <w:szCs w:val="22"/>
          <w:lang w:val="es-ES" w:eastAsia="es-ES"/>
        </w:rPr>
        <w:t xml:space="preserve">que incluya: un </w:t>
      </w:r>
      <w:r>
        <w:rPr>
          <w:rFonts w:ascii="Arial" w:eastAsia="Times New Roman" w:hAnsi="Arial" w:cs="Arial"/>
          <w:b/>
          <w:bCs/>
          <w:kern w:val="0"/>
          <w:sz w:val="22"/>
          <w:szCs w:val="22"/>
          <w:lang w:val="es-ES" w:eastAsia="es-ES"/>
        </w:rPr>
        <w:t>Plan de Confort Térmico y un Plan de Accesibilidad</w:t>
      </w:r>
      <w:r>
        <w:rPr>
          <w:rFonts w:ascii="Arial" w:eastAsia="Times New Roman" w:hAnsi="Arial" w:cs="Arial"/>
          <w:kern w:val="0"/>
          <w:sz w:val="22"/>
          <w:szCs w:val="22"/>
          <w:lang w:val="es-ES" w:eastAsia="es-ES"/>
        </w:rPr>
        <w:t xml:space="preserve"> en los centros educativos</w:t>
      </w:r>
      <w:r w:rsidR="00C7697A">
        <w:rPr>
          <w:rFonts w:ascii="Arial" w:eastAsia="Times New Roman" w:hAnsi="Arial" w:cs="Arial"/>
          <w:kern w:val="0"/>
          <w:sz w:val="22"/>
          <w:szCs w:val="22"/>
          <w:lang w:val="es-ES" w:eastAsia="es-ES"/>
        </w:rPr>
        <w:t xml:space="preserve">, incluidos los dependientes del </w:t>
      </w:r>
      <w:r w:rsidR="00C7697A" w:rsidRPr="00C7697A">
        <w:rPr>
          <w:rFonts w:ascii="Arial" w:eastAsia="Times New Roman" w:hAnsi="Arial" w:cs="Arial"/>
          <w:b/>
          <w:bCs/>
          <w:kern w:val="0"/>
          <w:sz w:val="22"/>
          <w:szCs w:val="22"/>
          <w:lang w:val="es-ES" w:eastAsia="es-ES"/>
        </w:rPr>
        <w:t>ISEACV</w:t>
      </w:r>
      <w:r>
        <w:rPr>
          <w:rFonts w:ascii="Arial" w:eastAsia="Times New Roman" w:hAnsi="Arial" w:cs="Arial"/>
          <w:kern w:val="0"/>
          <w:sz w:val="22"/>
          <w:szCs w:val="22"/>
          <w:lang w:val="es-ES" w:eastAsia="es-ES"/>
        </w:rPr>
        <w:t>.</w:t>
      </w:r>
      <w:r w:rsidR="00D55270">
        <w:rPr>
          <w:rFonts w:ascii="Arial" w:eastAsia="Times New Roman" w:hAnsi="Arial" w:cs="Arial"/>
          <w:kern w:val="0"/>
          <w:sz w:val="22"/>
          <w:szCs w:val="22"/>
          <w:lang w:val="es-ES" w:eastAsia="es-ES"/>
        </w:rPr>
        <w:t xml:space="preserve"> La primera entrega del Plan Director tiene prevista su finalización para antes de terminar el año 2026.</w:t>
      </w:r>
    </w:p>
    <w:p w14:paraId="63BAE539" w14:textId="77777777" w:rsidR="004935E3" w:rsidRDefault="004935E3" w:rsidP="00904429">
      <w:pPr>
        <w:widowControl/>
        <w:suppressAutoHyphens w:val="0"/>
        <w:spacing w:before="100" w:beforeAutospacing="1" w:after="120"/>
        <w:ind w:left="714"/>
        <w:contextualSpacing/>
        <w:jc w:val="both"/>
        <w:rPr>
          <w:rFonts w:ascii="Arial" w:eastAsia="Times New Roman" w:hAnsi="Arial" w:cs="Arial"/>
          <w:kern w:val="0"/>
          <w:sz w:val="22"/>
          <w:szCs w:val="22"/>
          <w:lang w:val="es-ES" w:eastAsia="es-ES"/>
        </w:rPr>
      </w:pPr>
    </w:p>
    <w:p w14:paraId="186EBCBB" w14:textId="112CCB92" w:rsidR="004935E3" w:rsidRDefault="004935E3" w:rsidP="00904429">
      <w:pPr>
        <w:widowControl/>
        <w:numPr>
          <w:ilvl w:val="0"/>
          <w:numId w:val="1"/>
        </w:numPr>
        <w:suppressAutoHyphens w:val="0"/>
        <w:spacing w:before="100" w:beforeAutospacing="1" w:after="120"/>
        <w:ind w:left="714" w:hanging="357"/>
        <w:contextualSpacing/>
        <w:jc w:val="both"/>
        <w:rPr>
          <w:rFonts w:ascii="Arial" w:eastAsia="Times New Roman" w:hAnsi="Arial" w:cs="Arial"/>
          <w:kern w:val="0"/>
          <w:sz w:val="22"/>
          <w:szCs w:val="22"/>
          <w:lang w:val="es-ES" w:eastAsia="es-ES"/>
        </w:rPr>
      </w:pPr>
      <w:r>
        <w:rPr>
          <w:rFonts w:ascii="Arial" w:eastAsia="Times New Roman" w:hAnsi="Arial" w:cs="Arial"/>
          <w:b/>
          <w:bCs/>
          <w:kern w:val="0"/>
          <w:sz w:val="22"/>
          <w:szCs w:val="22"/>
          <w:lang w:val="es-ES" w:eastAsia="es-ES"/>
        </w:rPr>
        <w:t xml:space="preserve">Línea de subvenciones dirigida a </w:t>
      </w:r>
      <w:r w:rsidR="00EE6EB4">
        <w:rPr>
          <w:rFonts w:ascii="Arial" w:eastAsia="Times New Roman" w:hAnsi="Arial" w:cs="Arial"/>
          <w:b/>
          <w:bCs/>
          <w:kern w:val="0"/>
          <w:sz w:val="22"/>
          <w:szCs w:val="22"/>
          <w:lang w:val="es-ES" w:eastAsia="es-ES"/>
        </w:rPr>
        <w:t>a</w:t>
      </w:r>
      <w:r>
        <w:rPr>
          <w:rFonts w:ascii="Arial" w:eastAsia="Times New Roman" w:hAnsi="Arial" w:cs="Arial"/>
          <w:b/>
          <w:bCs/>
          <w:kern w:val="0"/>
          <w:sz w:val="22"/>
          <w:szCs w:val="22"/>
          <w:lang w:val="es-ES" w:eastAsia="es-ES"/>
        </w:rPr>
        <w:t>yuntamientos</w:t>
      </w:r>
      <w:r>
        <w:rPr>
          <w:rFonts w:ascii="Arial" w:eastAsia="Times New Roman" w:hAnsi="Arial" w:cs="Arial"/>
          <w:kern w:val="0"/>
          <w:sz w:val="22"/>
          <w:szCs w:val="22"/>
          <w:lang w:val="es-ES" w:eastAsia="es-ES"/>
        </w:rPr>
        <w:t xml:space="preserve"> para la mejora de los centros educativos propiedad municipal (CEIPs y CEE), donde podrán solicitar subvenciones para mejorar la eficiencia energética, accesibilidad, reparaciones, instalaciones eléctricas, clima, etc. Sistema más eficiente y visible para los usuarios, que requiere de una ejecución en plazo, a diferencia de la delegación de competencias.</w:t>
      </w:r>
      <w:r w:rsidR="00872C0E">
        <w:rPr>
          <w:rFonts w:ascii="Arial" w:eastAsia="Times New Roman" w:hAnsi="Arial" w:cs="Arial"/>
          <w:kern w:val="0"/>
          <w:sz w:val="22"/>
          <w:szCs w:val="22"/>
          <w:lang w:val="es-ES" w:eastAsia="es-ES"/>
        </w:rPr>
        <w:t xml:space="preserve"> Esta línea se denominará </w:t>
      </w:r>
      <w:r w:rsidR="00872C0E" w:rsidRPr="00872C0E">
        <w:rPr>
          <w:rFonts w:ascii="Arial" w:eastAsia="Times New Roman" w:hAnsi="Arial" w:cs="Arial"/>
          <w:b/>
          <w:bCs/>
          <w:kern w:val="0"/>
          <w:sz w:val="22"/>
          <w:szCs w:val="22"/>
          <w:lang w:val="es-ES" w:eastAsia="es-ES"/>
        </w:rPr>
        <w:t>Plan Recole</w:t>
      </w:r>
      <w:r w:rsidR="00872C0E">
        <w:rPr>
          <w:rFonts w:ascii="Arial" w:eastAsia="Times New Roman" w:hAnsi="Arial" w:cs="Arial"/>
          <w:kern w:val="0"/>
          <w:sz w:val="22"/>
          <w:szCs w:val="22"/>
          <w:lang w:val="es-ES" w:eastAsia="es-ES"/>
        </w:rPr>
        <w:t xml:space="preserve">, dotado con un presupuesto de </w:t>
      </w:r>
      <w:r w:rsidR="00872C0E" w:rsidRPr="00872C0E">
        <w:rPr>
          <w:rFonts w:ascii="Arial" w:eastAsia="Times New Roman" w:hAnsi="Arial" w:cs="Arial"/>
          <w:b/>
          <w:bCs/>
          <w:kern w:val="0"/>
          <w:sz w:val="22"/>
          <w:szCs w:val="22"/>
          <w:lang w:val="es-ES" w:eastAsia="es-ES"/>
        </w:rPr>
        <w:t>10M €</w:t>
      </w:r>
      <w:r w:rsidR="00872C0E">
        <w:rPr>
          <w:rFonts w:ascii="Arial" w:eastAsia="Times New Roman" w:hAnsi="Arial" w:cs="Arial"/>
          <w:kern w:val="0"/>
          <w:sz w:val="22"/>
          <w:szCs w:val="22"/>
          <w:lang w:val="es-ES" w:eastAsia="es-ES"/>
        </w:rPr>
        <w:t xml:space="preserve">, en el proyecto de presupuestos de la </w:t>
      </w:r>
      <w:r w:rsidR="00872C0E" w:rsidRPr="00872C0E">
        <w:rPr>
          <w:rFonts w:ascii="Arial" w:eastAsia="Times New Roman" w:hAnsi="Arial" w:cs="Arial"/>
          <w:kern w:val="0"/>
          <w:sz w:val="22"/>
          <w:szCs w:val="22"/>
          <w:lang w:val="es-ES" w:eastAsia="es-ES"/>
        </w:rPr>
        <w:t>Generalitat Valenciana</w:t>
      </w:r>
      <w:r w:rsidR="00872C0E">
        <w:rPr>
          <w:rFonts w:ascii="Arial" w:eastAsia="Times New Roman" w:hAnsi="Arial" w:cs="Arial"/>
          <w:kern w:val="0"/>
          <w:sz w:val="22"/>
          <w:szCs w:val="22"/>
          <w:lang w:val="es-ES" w:eastAsia="es-ES"/>
        </w:rPr>
        <w:t>.</w:t>
      </w:r>
    </w:p>
    <w:p w14:paraId="45065114" w14:textId="77777777" w:rsidR="004935E3" w:rsidRDefault="004935E3" w:rsidP="00904429">
      <w:pPr>
        <w:widowControl/>
        <w:suppressAutoHyphens w:val="0"/>
        <w:spacing w:before="100" w:beforeAutospacing="1" w:after="120"/>
        <w:contextualSpacing/>
        <w:jc w:val="both"/>
        <w:rPr>
          <w:rFonts w:ascii="Arial" w:eastAsia="Times New Roman" w:hAnsi="Arial" w:cs="Arial"/>
          <w:kern w:val="0"/>
          <w:sz w:val="22"/>
          <w:szCs w:val="22"/>
          <w:lang w:val="es-ES" w:eastAsia="es-ES"/>
        </w:rPr>
      </w:pPr>
    </w:p>
    <w:p w14:paraId="6B4B0362" w14:textId="535CE8E4" w:rsidR="004935E3" w:rsidRDefault="004935E3" w:rsidP="00904429">
      <w:pPr>
        <w:widowControl/>
        <w:numPr>
          <w:ilvl w:val="0"/>
          <w:numId w:val="1"/>
        </w:numPr>
        <w:suppressAutoHyphens w:val="0"/>
        <w:spacing w:before="100" w:beforeAutospacing="1" w:after="120"/>
        <w:ind w:left="714" w:hanging="357"/>
        <w:contextualSpacing/>
        <w:jc w:val="both"/>
        <w:rPr>
          <w:rFonts w:ascii="Arial" w:eastAsia="Times New Roman" w:hAnsi="Arial" w:cs="Arial"/>
          <w:kern w:val="0"/>
          <w:sz w:val="22"/>
          <w:szCs w:val="22"/>
          <w:lang w:val="es-ES" w:eastAsia="es-ES"/>
        </w:rPr>
      </w:pPr>
      <w:r>
        <w:rPr>
          <w:rFonts w:ascii="Arial" w:eastAsia="Times New Roman" w:hAnsi="Arial" w:cs="Arial"/>
          <w:b/>
          <w:bCs/>
          <w:kern w:val="0"/>
          <w:sz w:val="22"/>
          <w:szCs w:val="22"/>
          <w:lang w:val="es-ES" w:eastAsia="es-ES"/>
        </w:rPr>
        <w:t>Continuidad en el impulso de la ejecución del Plan Edificant</w:t>
      </w:r>
      <w:r>
        <w:rPr>
          <w:rFonts w:ascii="Arial" w:eastAsia="Times New Roman" w:hAnsi="Arial" w:cs="Arial"/>
          <w:kern w:val="0"/>
          <w:sz w:val="22"/>
          <w:szCs w:val="22"/>
          <w:lang w:val="es-ES" w:eastAsia="es-ES"/>
        </w:rPr>
        <w:t xml:space="preserve"> mediante las herramientas de seguimiento que dispone la Conselleria, con el objetivo de seguir mejorando la ejecución de las delegaciones otorgadas, para las cuales estamos teniendo que analizar y, en su caso, aprobar incrementos de la delegación para poder acometer la ejecución de las obras </w:t>
      </w:r>
      <w:r w:rsidR="00CC7004">
        <w:rPr>
          <w:rFonts w:ascii="Arial" w:eastAsia="Times New Roman" w:hAnsi="Arial" w:cs="Arial"/>
          <w:kern w:val="0"/>
          <w:sz w:val="22"/>
          <w:szCs w:val="22"/>
          <w:lang w:val="es-ES" w:eastAsia="es-ES"/>
        </w:rPr>
        <w:t xml:space="preserve">correspondientes. La dotación en el proyecto </w:t>
      </w:r>
      <w:r w:rsidR="00CC7004" w:rsidRPr="00CC7004">
        <w:rPr>
          <w:rFonts w:ascii="Arial" w:eastAsia="Times New Roman" w:hAnsi="Arial" w:cs="Arial"/>
          <w:kern w:val="0"/>
          <w:sz w:val="22"/>
          <w:szCs w:val="22"/>
          <w:lang w:val="es-ES" w:eastAsia="es-ES"/>
        </w:rPr>
        <w:t>de presupuestos de la Generalitat Valenciana</w:t>
      </w:r>
      <w:r w:rsidR="00CC7004">
        <w:rPr>
          <w:rFonts w:ascii="Arial" w:eastAsia="Times New Roman" w:hAnsi="Arial" w:cs="Arial"/>
          <w:kern w:val="0"/>
          <w:sz w:val="22"/>
          <w:szCs w:val="22"/>
          <w:lang w:val="es-ES" w:eastAsia="es-ES"/>
        </w:rPr>
        <w:t xml:space="preserve"> asciende a </w:t>
      </w:r>
      <w:r w:rsidR="00CC7004" w:rsidRPr="00CC7004">
        <w:rPr>
          <w:rFonts w:ascii="Arial" w:eastAsia="Times New Roman" w:hAnsi="Arial" w:cs="Arial"/>
          <w:b/>
          <w:bCs/>
          <w:kern w:val="0"/>
          <w:sz w:val="22"/>
          <w:szCs w:val="22"/>
          <w:lang w:val="es-ES" w:eastAsia="es-ES"/>
        </w:rPr>
        <w:t>229</w:t>
      </w:r>
      <w:r w:rsidR="00CC7004">
        <w:rPr>
          <w:rFonts w:ascii="Arial" w:eastAsia="Times New Roman" w:hAnsi="Arial" w:cs="Arial"/>
          <w:b/>
          <w:bCs/>
          <w:kern w:val="0"/>
          <w:sz w:val="22"/>
          <w:szCs w:val="22"/>
          <w:lang w:val="es-ES" w:eastAsia="es-ES"/>
        </w:rPr>
        <w:t>,7</w:t>
      </w:r>
      <w:r w:rsidR="00CC7004" w:rsidRPr="00CC7004">
        <w:rPr>
          <w:rFonts w:ascii="Arial" w:eastAsia="Times New Roman" w:hAnsi="Arial" w:cs="Arial"/>
          <w:b/>
          <w:bCs/>
          <w:kern w:val="0"/>
          <w:sz w:val="22"/>
          <w:szCs w:val="22"/>
          <w:lang w:val="es-ES" w:eastAsia="es-ES"/>
        </w:rPr>
        <w:t>M €</w:t>
      </w:r>
      <w:r w:rsidR="00CC7004">
        <w:rPr>
          <w:rFonts w:ascii="Arial" w:eastAsia="Times New Roman" w:hAnsi="Arial" w:cs="Arial"/>
          <w:kern w:val="0"/>
          <w:sz w:val="22"/>
          <w:szCs w:val="22"/>
          <w:lang w:val="es-ES" w:eastAsia="es-ES"/>
        </w:rPr>
        <w:t>.</w:t>
      </w:r>
    </w:p>
    <w:p w14:paraId="53CA2609" w14:textId="77777777" w:rsidR="00130CD3" w:rsidRDefault="00130CD3" w:rsidP="00904429">
      <w:pPr>
        <w:widowControl/>
        <w:suppressAutoHyphens w:val="0"/>
        <w:spacing w:before="100" w:beforeAutospacing="1" w:after="120"/>
        <w:contextualSpacing/>
        <w:jc w:val="both"/>
        <w:rPr>
          <w:rFonts w:ascii="Arial" w:eastAsia="Times New Roman" w:hAnsi="Arial" w:cs="Arial"/>
          <w:kern w:val="0"/>
          <w:sz w:val="22"/>
          <w:szCs w:val="22"/>
          <w:lang w:val="es-ES" w:eastAsia="es-ES"/>
        </w:rPr>
      </w:pPr>
    </w:p>
    <w:p w14:paraId="390FC15C" w14:textId="5628E4D8" w:rsidR="00051A12" w:rsidRDefault="00051A12" w:rsidP="00904429">
      <w:pPr>
        <w:widowControl/>
        <w:numPr>
          <w:ilvl w:val="0"/>
          <w:numId w:val="1"/>
        </w:numPr>
        <w:suppressAutoHyphens w:val="0"/>
        <w:spacing w:before="100" w:beforeAutospacing="1" w:after="120"/>
        <w:ind w:left="714" w:hanging="357"/>
        <w:contextualSpacing/>
        <w:jc w:val="both"/>
        <w:rPr>
          <w:rFonts w:ascii="Arial" w:eastAsia="Times New Roman" w:hAnsi="Arial" w:cs="Arial"/>
          <w:kern w:val="0"/>
          <w:sz w:val="22"/>
          <w:szCs w:val="22"/>
          <w:lang w:val="es-ES" w:eastAsia="es-ES"/>
        </w:rPr>
      </w:pPr>
      <w:r>
        <w:rPr>
          <w:rFonts w:ascii="Arial" w:eastAsia="Times New Roman" w:hAnsi="Arial" w:cs="Arial"/>
          <w:kern w:val="0"/>
          <w:sz w:val="22"/>
          <w:szCs w:val="22"/>
          <w:lang w:val="es-ES" w:eastAsia="es-ES"/>
        </w:rPr>
        <w:t xml:space="preserve">Ejecución del </w:t>
      </w:r>
      <w:r>
        <w:rPr>
          <w:rFonts w:ascii="Arial" w:eastAsia="Times New Roman" w:hAnsi="Arial" w:cs="Arial"/>
          <w:b/>
          <w:bCs/>
          <w:kern w:val="0"/>
          <w:sz w:val="22"/>
          <w:szCs w:val="22"/>
          <w:lang w:val="es-ES" w:eastAsia="es-ES"/>
        </w:rPr>
        <w:t>Plan Director de Infraestructuras Educativas (confort térmico y accesibilidad), exclusivo para zona DANA (capítulo VII del presupuesto): 2M €.</w:t>
      </w:r>
    </w:p>
    <w:p w14:paraId="3C2ACF2D" w14:textId="77777777" w:rsidR="004935E3" w:rsidRDefault="004935E3" w:rsidP="00904429">
      <w:pPr>
        <w:widowControl/>
        <w:suppressAutoHyphens w:val="0"/>
        <w:spacing w:before="100" w:beforeAutospacing="1" w:after="120"/>
        <w:contextualSpacing/>
        <w:jc w:val="both"/>
        <w:rPr>
          <w:rFonts w:ascii="Arial" w:eastAsia="Times New Roman" w:hAnsi="Arial" w:cs="Arial"/>
          <w:kern w:val="0"/>
          <w:sz w:val="22"/>
          <w:szCs w:val="22"/>
          <w:lang w:val="es-ES" w:eastAsia="es-ES"/>
        </w:rPr>
      </w:pPr>
    </w:p>
    <w:p w14:paraId="0A41FDAA" w14:textId="20AC35D4" w:rsidR="004935E3" w:rsidRDefault="004935E3" w:rsidP="00904429">
      <w:pPr>
        <w:widowControl/>
        <w:numPr>
          <w:ilvl w:val="0"/>
          <w:numId w:val="1"/>
        </w:numPr>
        <w:suppressAutoHyphens w:val="0"/>
        <w:spacing w:before="100" w:beforeAutospacing="1" w:after="100" w:afterAutospacing="1"/>
        <w:contextualSpacing/>
        <w:jc w:val="both"/>
        <w:rPr>
          <w:rFonts w:ascii="Arial" w:eastAsia="Times New Roman" w:hAnsi="Arial" w:cs="Arial"/>
          <w:kern w:val="0"/>
          <w:sz w:val="22"/>
          <w:szCs w:val="22"/>
          <w:lang w:val="es-ES" w:eastAsia="es-ES"/>
        </w:rPr>
      </w:pPr>
      <w:r>
        <w:rPr>
          <w:rFonts w:ascii="Arial" w:eastAsia="Times New Roman" w:hAnsi="Arial" w:cs="Arial"/>
          <w:b/>
          <w:bCs/>
          <w:kern w:val="0"/>
          <w:sz w:val="22"/>
          <w:szCs w:val="22"/>
          <w:lang w:val="es-ES" w:eastAsia="es-ES"/>
        </w:rPr>
        <w:t>Inversiones propias de la Conselleria (capítulo VI del presupuesto)</w:t>
      </w:r>
      <w:r>
        <w:rPr>
          <w:rFonts w:ascii="Arial" w:eastAsia="Times New Roman" w:hAnsi="Arial" w:cs="Arial"/>
          <w:kern w:val="0"/>
          <w:sz w:val="22"/>
          <w:szCs w:val="22"/>
          <w:lang w:val="es-ES" w:eastAsia="es-ES"/>
        </w:rPr>
        <w:t>, con actuaciones señaladas nominalmente y que se pueden consultar con total transparencia, recuperando la ejecución en este ámbito.</w:t>
      </w:r>
      <w:r w:rsidR="00904429">
        <w:rPr>
          <w:rFonts w:ascii="Arial" w:eastAsia="Times New Roman" w:hAnsi="Arial" w:cs="Arial"/>
          <w:kern w:val="0"/>
          <w:sz w:val="22"/>
          <w:szCs w:val="22"/>
          <w:lang w:val="es-ES" w:eastAsia="es-ES"/>
        </w:rPr>
        <w:t xml:space="preserve"> </w:t>
      </w:r>
      <w:r w:rsidR="00904429">
        <w:rPr>
          <w:rFonts w:ascii="Arial" w:eastAsia="Times New Roman" w:hAnsi="Arial" w:cs="Arial"/>
          <w:b/>
          <w:bCs/>
          <w:kern w:val="0"/>
          <w:sz w:val="22"/>
          <w:szCs w:val="22"/>
          <w:lang w:val="es-ES" w:eastAsia="es-ES"/>
        </w:rPr>
        <w:t>131M €.</w:t>
      </w:r>
    </w:p>
    <w:p w14:paraId="0806EC3D" w14:textId="77777777" w:rsidR="009D6CD2" w:rsidRDefault="009D6CD2" w:rsidP="00904429">
      <w:pPr>
        <w:widowControl/>
        <w:suppressAutoHyphens w:val="0"/>
        <w:spacing w:before="100" w:beforeAutospacing="1" w:after="100" w:afterAutospacing="1"/>
        <w:contextualSpacing/>
        <w:jc w:val="both"/>
        <w:rPr>
          <w:rFonts w:ascii="Arial" w:eastAsia="Times New Roman" w:hAnsi="Arial" w:cs="Arial"/>
          <w:kern w:val="0"/>
          <w:sz w:val="22"/>
          <w:szCs w:val="22"/>
          <w:lang w:val="es-ES" w:eastAsia="es-ES"/>
        </w:rPr>
      </w:pPr>
    </w:p>
    <w:p w14:paraId="5CB0AB7F" w14:textId="5F79D839" w:rsidR="004935E3" w:rsidRDefault="004935E3" w:rsidP="00904429">
      <w:pPr>
        <w:widowControl/>
        <w:numPr>
          <w:ilvl w:val="0"/>
          <w:numId w:val="1"/>
        </w:numPr>
        <w:suppressAutoHyphens w:val="0"/>
        <w:spacing w:before="100" w:beforeAutospacing="1"/>
        <w:ind w:left="714" w:hanging="357"/>
        <w:contextualSpacing/>
        <w:jc w:val="both"/>
        <w:rPr>
          <w:rFonts w:ascii="Arial" w:eastAsia="Times New Roman" w:hAnsi="Arial" w:cs="Arial"/>
          <w:kern w:val="0"/>
          <w:sz w:val="22"/>
          <w:szCs w:val="22"/>
          <w:lang w:val="es-ES" w:eastAsia="es-ES"/>
        </w:rPr>
      </w:pPr>
      <w:r>
        <w:rPr>
          <w:rFonts w:ascii="Arial" w:eastAsia="Times New Roman" w:hAnsi="Arial" w:cs="Arial"/>
          <w:kern w:val="0"/>
          <w:sz w:val="22"/>
          <w:szCs w:val="22"/>
          <w:lang w:val="es-ES" w:eastAsia="es-ES"/>
        </w:rPr>
        <w:t xml:space="preserve">Establecimiento de </w:t>
      </w:r>
      <w:r>
        <w:rPr>
          <w:rFonts w:ascii="Arial" w:eastAsia="Times New Roman" w:hAnsi="Arial" w:cs="Arial"/>
          <w:b/>
          <w:bCs/>
          <w:kern w:val="0"/>
          <w:sz w:val="22"/>
          <w:szCs w:val="22"/>
          <w:lang w:val="es-ES" w:eastAsia="es-ES"/>
        </w:rPr>
        <w:t>reuniones trimestrales de seguimiento</w:t>
      </w:r>
      <w:r>
        <w:rPr>
          <w:rFonts w:ascii="Arial" w:eastAsia="Times New Roman" w:hAnsi="Arial" w:cs="Arial"/>
          <w:kern w:val="0"/>
          <w:sz w:val="22"/>
          <w:szCs w:val="22"/>
          <w:lang w:val="es-ES" w:eastAsia="es-ES"/>
        </w:rPr>
        <w:t xml:space="preserve"> para evaluar el estado de ejecución de las inversiones en infraestructuras educativas y </w:t>
      </w:r>
      <w:r w:rsidR="00363BE9">
        <w:rPr>
          <w:rFonts w:ascii="Arial" w:eastAsia="Times New Roman" w:hAnsi="Arial" w:cs="Arial"/>
          <w:kern w:val="0"/>
          <w:sz w:val="22"/>
          <w:szCs w:val="22"/>
          <w:lang w:val="es-ES" w:eastAsia="es-ES"/>
        </w:rPr>
        <w:t>reunión</w:t>
      </w:r>
      <w:r>
        <w:rPr>
          <w:rFonts w:ascii="Arial" w:eastAsia="Times New Roman" w:hAnsi="Arial" w:cs="Arial"/>
          <w:kern w:val="0"/>
          <w:sz w:val="22"/>
          <w:szCs w:val="22"/>
          <w:lang w:val="es-ES" w:eastAsia="es-ES"/>
        </w:rPr>
        <w:t xml:space="preserve"> monográfica antes de que acabe este curso.</w:t>
      </w:r>
    </w:p>
    <w:p w14:paraId="6C2E28C2" w14:textId="77777777" w:rsidR="00904429" w:rsidRDefault="00904429" w:rsidP="00904429">
      <w:pPr>
        <w:widowControl/>
        <w:suppressAutoHyphens w:val="0"/>
        <w:spacing w:before="100" w:beforeAutospacing="1"/>
        <w:contextualSpacing/>
        <w:jc w:val="both"/>
        <w:rPr>
          <w:rFonts w:ascii="Arial" w:eastAsia="Times New Roman" w:hAnsi="Arial" w:cs="Arial"/>
          <w:kern w:val="0"/>
          <w:sz w:val="22"/>
          <w:szCs w:val="22"/>
          <w:lang w:val="es-ES" w:eastAsia="es-ES"/>
        </w:rPr>
      </w:pPr>
    </w:p>
    <w:p w14:paraId="00B014B0" w14:textId="08FEFA08" w:rsidR="004935E3" w:rsidRPr="00C556C4" w:rsidRDefault="004935E3" w:rsidP="00904429">
      <w:pPr>
        <w:widowControl/>
        <w:numPr>
          <w:ilvl w:val="0"/>
          <w:numId w:val="1"/>
        </w:numPr>
        <w:suppressAutoHyphens w:val="0"/>
        <w:spacing w:before="100" w:beforeAutospacing="1" w:after="100" w:afterAutospacing="1"/>
        <w:contextualSpacing/>
        <w:jc w:val="both"/>
        <w:rPr>
          <w:rFonts w:ascii="Arial" w:eastAsia="Times New Roman" w:hAnsi="Arial" w:cs="Arial"/>
          <w:b/>
          <w:bCs/>
          <w:kern w:val="0"/>
          <w:sz w:val="22"/>
          <w:szCs w:val="22"/>
          <w:lang w:val="es-ES" w:eastAsia="es-ES"/>
        </w:rPr>
      </w:pPr>
      <w:r w:rsidRPr="00C556C4">
        <w:rPr>
          <w:rFonts w:ascii="Arial" w:eastAsia="Times New Roman" w:hAnsi="Arial" w:cs="Arial"/>
          <w:b/>
          <w:bCs/>
          <w:kern w:val="0"/>
          <w:sz w:val="22"/>
          <w:szCs w:val="22"/>
          <w:lang w:val="es-ES" w:eastAsia="es-ES"/>
        </w:rPr>
        <w:t>Especial atención a la reconstrucción de los centros afectados por la DANA.</w:t>
      </w:r>
      <w:r w:rsidR="00DD3734">
        <w:rPr>
          <w:rFonts w:ascii="Arial" w:eastAsia="Times New Roman" w:hAnsi="Arial" w:cs="Arial"/>
          <w:b/>
          <w:bCs/>
          <w:kern w:val="0"/>
          <w:sz w:val="22"/>
          <w:szCs w:val="22"/>
          <w:lang w:val="es-ES" w:eastAsia="es-ES"/>
        </w:rPr>
        <w:t xml:space="preserve"> Se </w:t>
      </w:r>
      <w:r w:rsidR="00EE6EB4">
        <w:rPr>
          <w:rFonts w:ascii="Arial" w:eastAsia="Times New Roman" w:hAnsi="Arial" w:cs="Arial"/>
          <w:b/>
          <w:bCs/>
          <w:kern w:val="0"/>
          <w:sz w:val="22"/>
          <w:szCs w:val="22"/>
          <w:lang w:val="es-ES" w:eastAsia="es-ES"/>
        </w:rPr>
        <w:t>informará</w:t>
      </w:r>
      <w:r w:rsidR="00DD3734">
        <w:rPr>
          <w:rFonts w:ascii="Arial" w:eastAsia="Times New Roman" w:hAnsi="Arial" w:cs="Arial"/>
          <w:b/>
          <w:bCs/>
          <w:kern w:val="0"/>
          <w:sz w:val="22"/>
          <w:szCs w:val="22"/>
          <w:lang w:val="es-ES" w:eastAsia="es-ES"/>
        </w:rPr>
        <w:t xml:space="preserve"> de la situación de estos centros en las reuniones de seguimiento convocadas a tal efecto.</w:t>
      </w:r>
    </w:p>
    <w:p w14:paraId="2DD850F4" w14:textId="77777777" w:rsidR="004935E3" w:rsidRPr="004935E3" w:rsidRDefault="004935E3" w:rsidP="004935E3">
      <w:pPr>
        <w:contextualSpacing/>
        <w:rPr>
          <w:lang w:val="es-ES"/>
        </w:rPr>
      </w:pPr>
    </w:p>
    <w:sectPr w:rsidR="004935E3" w:rsidRPr="004935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537D9"/>
    <w:multiLevelType w:val="multilevel"/>
    <w:tmpl w:val="70CA7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23979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5E3"/>
    <w:rsid w:val="00051A12"/>
    <w:rsid w:val="00130149"/>
    <w:rsid w:val="00130CD3"/>
    <w:rsid w:val="001E7B88"/>
    <w:rsid w:val="00363BE9"/>
    <w:rsid w:val="003670E7"/>
    <w:rsid w:val="004935E3"/>
    <w:rsid w:val="00806A7B"/>
    <w:rsid w:val="00872C0E"/>
    <w:rsid w:val="008D0593"/>
    <w:rsid w:val="00904429"/>
    <w:rsid w:val="009D194E"/>
    <w:rsid w:val="009D6CD2"/>
    <w:rsid w:val="00C556C4"/>
    <w:rsid w:val="00C7697A"/>
    <w:rsid w:val="00CC7004"/>
    <w:rsid w:val="00D55270"/>
    <w:rsid w:val="00DD3734"/>
    <w:rsid w:val="00EE6EB4"/>
    <w:rsid w:val="00EF7D06"/>
    <w:rsid w:val="00F7202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7098"/>
  <w15:chartTrackingRefBased/>
  <w15:docId w15:val="{CA65951D-560E-4614-B60E-1C88A74D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5E3"/>
    <w:pPr>
      <w:widowControl w:val="0"/>
      <w:suppressAutoHyphens/>
      <w:autoSpaceDN w:val="0"/>
      <w:spacing w:after="0" w:line="240" w:lineRule="auto"/>
    </w:pPr>
    <w:rPr>
      <w:rFonts w:ascii="Liberation Serif" w:eastAsia="SimSun" w:hAnsi="Liberation Serif" w:cs="Mangal"/>
      <w:kern w:val="3"/>
      <w:sz w:val="24"/>
      <w:szCs w:val="24"/>
      <w:lang w:val="ca-ES" w:eastAsia="zh-CN" w:bidi="hi-IN"/>
      <w14:ligatures w14:val="none"/>
    </w:rPr>
  </w:style>
  <w:style w:type="paragraph" w:styleId="Ttulo1">
    <w:name w:val="heading 1"/>
    <w:basedOn w:val="Normal"/>
    <w:next w:val="Normal"/>
    <w:link w:val="Ttulo1Car"/>
    <w:uiPriority w:val="9"/>
    <w:qFormat/>
    <w:rsid w:val="00493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93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935E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935E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935E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935E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935E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935E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935E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35E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935E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935E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935E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935E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935E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935E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935E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935E3"/>
    <w:rPr>
      <w:rFonts w:eastAsiaTheme="majorEastAsia" w:cstheme="majorBidi"/>
      <w:color w:val="272727" w:themeColor="text1" w:themeTint="D8"/>
    </w:rPr>
  </w:style>
  <w:style w:type="paragraph" w:styleId="Ttulo">
    <w:name w:val="Title"/>
    <w:basedOn w:val="Normal"/>
    <w:next w:val="Normal"/>
    <w:link w:val="TtuloCar"/>
    <w:uiPriority w:val="10"/>
    <w:qFormat/>
    <w:rsid w:val="004935E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935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935E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935E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935E3"/>
    <w:pPr>
      <w:spacing w:before="160"/>
      <w:jc w:val="center"/>
    </w:pPr>
    <w:rPr>
      <w:i/>
      <w:iCs/>
      <w:color w:val="404040" w:themeColor="text1" w:themeTint="BF"/>
    </w:rPr>
  </w:style>
  <w:style w:type="character" w:customStyle="1" w:styleId="CitaCar">
    <w:name w:val="Cita Car"/>
    <w:basedOn w:val="Fuentedeprrafopredeter"/>
    <w:link w:val="Cita"/>
    <w:uiPriority w:val="29"/>
    <w:rsid w:val="004935E3"/>
    <w:rPr>
      <w:i/>
      <w:iCs/>
      <w:color w:val="404040" w:themeColor="text1" w:themeTint="BF"/>
    </w:rPr>
  </w:style>
  <w:style w:type="paragraph" w:styleId="Prrafodelista">
    <w:name w:val="List Paragraph"/>
    <w:basedOn w:val="Normal"/>
    <w:uiPriority w:val="34"/>
    <w:qFormat/>
    <w:rsid w:val="004935E3"/>
    <w:pPr>
      <w:ind w:left="720"/>
      <w:contextualSpacing/>
    </w:pPr>
  </w:style>
  <w:style w:type="character" w:styleId="nfasisintenso">
    <w:name w:val="Intense Emphasis"/>
    <w:basedOn w:val="Fuentedeprrafopredeter"/>
    <w:uiPriority w:val="21"/>
    <w:qFormat/>
    <w:rsid w:val="004935E3"/>
    <w:rPr>
      <w:i/>
      <w:iCs/>
      <w:color w:val="0F4761" w:themeColor="accent1" w:themeShade="BF"/>
    </w:rPr>
  </w:style>
  <w:style w:type="paragraph" w:styleId="Citadestacada">
    <w:name w:val="Intense Quote"/>
    <w:basedOn w:val="Normal"/>
    <w:next w:val="Normal"/>
    <w:link w:val="CitadestacadaCar"/>
    <w:uiPriority w:val="30"/>
    <w:qFormat/>
    <w:rsid w:val="00493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935E3"/>
    <w:rPr>
      <w:i/>
      <w:iCs/>
      <w:color w:val="0F4761" w:themeColor="accent1" w:themeShade="BF"/>
    </w:rPr>
  </w:style>
  <w:style w:type="character" w:styleId="Referenciaintensa">
    <w:name w:val="Intense Reference"/>
    <w:basedOn w:val="Fuentedeprrafopredeter"/>
    <w:uiPriority w:val="32"/>
    <w:qFormat/>
    <w:rsid w:val="004935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320</Words>
  <Characters>1766</Characters>
  <Application>Microsoft Office Word</Application>
  <DocSecurity>0</DocSecurity>
  <Lines>14</Lines>
  <Paragraphs>4</Paragraphs>
  <ScaleCrop>false</ScaleCrop>
  <Company>Generalitat Valenciana</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MCEVOY BRAVO, DANIEL</dc:creator>
  <cp:keywords/>
  <dc:description/>
  <cp:lastModifiedBy>SALA FERRANDIS, MARIA AMPARO</cp:lastModifiedBy>
  <cp:revision>14</cp:revision>
  <dcterms:created xsi:type="dcterms:W3CDTF">2026-05-26T09:26:00Z</dcterms:created>
  <dcterms:modified xsi:type="dcterms:W3CDTF">2026-05-29T10:53:00Z</dcterms:modified>
</cp:coreProperties>
</file>