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A035F" w14:textId="6F2C4288" w:rsidR="00ED0388" w:rsidRPr="00400516" w:rsidRDefault="00BA7320" w:rsidP="006A1C45">
      <w:pPr>
        <w:ind w:left="1416" w:hanging="1416"/>
        <w:contextualSpacing/>
        <w:jc w:val="both"/>
        <w:rPr>
          <w:rFonts w:ascii="Verdana" w:hAnsi="Verdana" w:cs="Calibri"/>
          <w:sz w:val="20"/>
          <w:szCs w:val="20"/>
        </w:rPr>
      </w:pPr>
      <w:r w:rsidRPr="00400516">
        <w:rPr>
          <w:rFonts w:ascii="Verdana" w:hAnsi="Verdana" w:cs="Calibri"/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 wp14:anchorId="70FB472B" wp14:editId="09CA656C">
            <wp:simplePos x="0" y="0"/>
            <wp:positionH relativeFrom="column">
              <wp:posOffset>51435</wp:posOffset>
            </wp:positionH>
            <wp:positionV relativeFrom="paragraph">
              <wp:posOffset>80645</wp:posOffset>
            </wp:positionV>
            <wp:extent cx="1887220" cy="951230"/>
            <wp:effectExtent l="0" t="0" r="0" b="1270"/>
            <wp:wrapSquare wrapText="largest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56" r="-2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9512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000C9" w14:textId="3C539FF5" w:rsidR="00ED0388" w:rsidRPr="00400516" w:rsidRDefault="00ED0388">
      <w:pPr>
        <w:contextualSpacing/>
        <w:jc w:val="both"/>
        <w:rPr>
          <w:rFonts w:ascii="Verdana" w:hAnsi="Verdana" w:cs="Calibri"/>
          <w:b/>
          <w:i/>
          <w:iCs/>
          <w:sz w:val="20"/>
          <w:szCs w:val="20"/>
        </w:rPr>
      </w:pPr>
    </w:p>
    <w:p w14:paraId="78DACB60" w14:textId="77777777" w:rsidR="00ED0388" w:rsidRPr="00400516" w:rsidRDefault="00ED0388">
      <w:pPr>
        <w:contextualSpacing/>
        <w:jc w:val="both"/>
        <w:rPr>
          <w:rFonts w:ascii="Verdana" w:hAnsi="Verdana" w:cs="Calibri"/>
          <w:b/>
          <w:i/>
          <w:iCs/>
          <w:sz w:val="20"/>
          <w:szCs w:val="20"/>
        </w:rPr>
      </w:pPr>
    </w:p>
    <w:p w14:paraId="364A97AD" w14:textId="77777777" w:rsidR="00BA7320" w:rsidRPr="00400516" w:rsidRDefault="00BA7320">
      <w:pPr>
        <w:contextualSpacing/>
        <w:jc w:val="center"/>
        <w:rPr>
          <w:rFonts w:ascii="Verdana" w:hAnsi="Verdana" w:cs="Calibri"/>
          <w:b/>
          <w:i/>
          <w:iCs/>
          <w:sz w:val="20"/>
          <w:szCs w:val="20"/>
        </w:rPr>
      </w:pPr>
    </w:p>
    <w:p w14:paraId="1522894F" w14:textId="77777777" w:rsidR="00BA7320" w:rsidRPr="00400516" w:rsidRDefault="00BA7320">
      <w:pPr>
        <w:contextualSpacing/>
        <w:jc w:val="center"/>
        <w:rPr>
          <w:rFonts w:ascii="Verdana" w:hAnsi="Verdana" w:cs="Calibri"/>
          <w:b/>
          <w:i/>
          <w:iCs/>
          <w:sz w:val="20"/>
          <w:szCs w:val="20"/>
        </w:rPr>
      </w:pPr>
    </w:p>
    <w:p w14:paraId="6917BC59" w14:textId="77777777" w:rsidR="00BA7320" w:rsidRPr="00400516" w:rsidRDefault="00BA7320">
      <w:pPr>
        <w:contextualSpacing/>
        <w:jc w:val="center"/>
        <w:rPr>
          <w:rFonts w:ascii="Verdana" w:hAnsi="Verdana" w:cs="Calibri"/>
          <w:b/>
          <w:i/>
          <w:iCs/>
          <w:sz w:val="20"/>
          <w:szCs w:val="20"/>
        </w:rPr>
      </w:pPr>
    </w:p>
    <w:p w14:paraId="29249C1C" w14:textId="77777777" w:rsidR="00BA7320" w:rsidRPr="00400516" w:rsidRDefault="00BA7320">
      <w:pPr>
        <w:contextualSpacing/>
        <w:jc w:val="center"/>
        <w:rPr>
          <w:rFonts w:ascii="Verdana" w:hAnsi="Verdana" w:cs="Calibri"/>
          <w:b/>
          <w:i/>
          <w:iCs/>
          <w:sz w:val="20"/>
          <w:szCs w:val="20"/>
        </w:rPr>
      </w:pPr>
    </w:p>
    <w:p w14:paraId="7CB91017" w14:textId="4EA19D83" w:rsidR="00ED0388" w:rsidRPr="00400516" w:rsidRDefault="009D2269">
      <w:pPr>
        <w:contextualSpacing/>
        <w:jc w:val="center"/>
        <w:rPr>
          <w:rFonts w:ascii="Verdana" w:hAnsi="Verdana" w:cs="Calibri"/>
          <w:b/>
          <w:i/>
          <w:iCs/>
          <w:sz w:val="20"/>
          <w:szCs w:val="20"/>
        </w:rPr>
      </w:pPr>
      <w:r w:rsidRPr="00400516">
        <w:rPr>
          <w:rFonts w:ascii="Verdana" w:hAnsi="Verdana" w:cs="Calibri"/>
          <w:b/>
          <w:i/>
          <w:iCs/>
          <w:sz w:val="20"/>
          <w:szCs w:val="20"/>
        </w:rPr>
        <w:t>ANTEPROYECTO DE LEY DE MEDIDAS FISCALES, DE GESTIÓN ADMINISTRATIVA Y FINANCIERA, Y DE ORGANIZACIÓN DE LA GENERALITAT</w:t>
      </w:r>
      <w:r w:rsidR="007D0596" w:rsidRPr="00400516">
        <w:rPr>
          <w:rFonts w:ascii="Verdana" w:hAnsi="Verdana" w:cs="Calibri"/>
          <w:b/>
          <w:i/>
          <w:iCs/>
          <w:sz w:val="20"/>
          <w:szCs w:val="20"/>
        </w:rPr>
        <w:t xml:space="preserve"> 2022</w:t>
      </w:r>
    </w:p>
    <w:p w14:paraId="62AB4A0C" w14:textId="77777777" w:rsidR="00ED0388" w:rsidRPr="00400516" w:rsidRDefault="00ED0388">
      <w:pPr>
        <w:contextualSpacing/>
        <w:jc w:val="center"/>
        <w:rPr>
          <w:rFonts w:ascii="Verdana" w:hAnsi="Verdana" w:cs="Calibri"/>
          <w:b/>
          <w:i/>
          <w:iCs/>
          <w:sz w:val="20"/>
          <w:szCs w:val="20"/>
        </w:rPr>
      </w:pPr>
    </w:p>
    <w:p w14:paraId="6044ACC3" w14:textId="77777777" w:rsidR="00ED0388" w:rsidRPr="00400516" w:rsidRDefault="00ED0388">
      <w:pPr>
        <w:pStyle w:val="Textoindependiente"/>
        <w:spacing w:after="0"/>
        <w:contextualSpacing/>
        <w:jc w:val="center"/>
        <w:rPr>
          <w:rFonts w:ascii="Verdana" w:hAnsi="Verdana"/>
          <w:b/>
          <w:i/>
          <w:iCs/>
          <w:sz w:val="20"/>
          <w:szCs w:val="20"/>
        </w:rPr>
      </w:pPr>
    </w:p>
    <w:p w14:paraId="1A8E323F" w14:textId="77777777" w:rsidR="000747CD" w:rsidRPr="00400516" w:rsidRDefault="000747CD" w:rsidP="000747CD">
      <w:pPr>
        <w:pStyle w:val="Textoindependiente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5C2A5F85" w14:textId="77777777" w:rsidR="000747CD" w:rsidRPr="00400516" w:rsidRDefault="000747CD" w:rsidP="000747CD">
      <w:pPr>
        <w:pStyle w:val="Textoindependiente"/>
        <w:contextualSpacing/>
        <w:jc w:val="both"/>
        <w:rPr>
          <w:rFonts w:ascii="Verdana" w:hAnsi="Verdana"/>
          <w:bCs/>
          <w:sz w:val="20"/>
          <w:szCs w:val="20"/>
        </w:rPr>
      </w:pPr>
      <w:r w:rsidRPr="00400516">
        <w:rPr>
          <w:rFonts w:ascii="Verdana" w:hAnsi="Verdana"/>
          <w:bCs/>
          <w:sz w:val="20"/>
          <w:szCs w:val="20"/>
        </w:rPr>
        <w:t>CAPÍTULO VI. MODIFICACIONES LEGISLATIVAS EN MATERIAS COMPETENCIA DE LA CONSELLERIA DE EDUCACIÓN, CULTURA Y DEPORTE</w:t>
      </w:r>
    </w:p>
    <w:p w14:paraId="5C4675DB" w14:textId="7DE72611" w:rsidR="000747CD" w:rsidRPr="00400516" w:rsidRDefault="00B8374F" w:rsidP="000747CD">
      <w:pPr>
        <w:pStyle w:val="Textoindependiente"/>
        <w:contextualSpacing/>
        <w:jc w:val="both"/>
        <w:rPr>
          <w:rFonts w:ascii="Verdana" w:hAnsi="Verdana"/>
          <w:bCs/>
          <w:sz w:val="20"/>
          <w:szCs w:val="20"/>
        </w:rPr>
      </w:pPr>
      <w:r w:rsidRPr="00400516">
        <w:rPr>
          <w:rFonts w:ascii="Verdana" w:hAnsi="Verdana"/>
          <w:bCs/>
          <w:sz w:val="20"/>
          <w:szCs w:val="20"/>
        </w:rPr>
        <w:t>Sección 2ª. Integración de los Conservatorios de Música y Danza de las Administraciones Locales en la Red Valenciana de titularidad de la Generalitat.</w:t>
      </w:r>
    </w:p>
    <w:p w14:paraId="73F9E2D6" w14:textId="77777777" w:rsidR="007D0596" w:rsidRPr="00400516" w:rsidRDefault="007D0596">
      <w:pPr>
        <w:pStyle w:val="Textoindependiente"/>
        <w:spacing w:after="0"/>
        <w:contextualSpacing/>
        <w:jc w:val="center"/>
        <w:rPr>
          <w:rFonts w:ascii="Verdana" w:hAnsi="Verdana"/>
          <w:b/>
          <w:i/>
          <w:iCs/>
          <w:sz w:val="20"/>
          <w:szCs w:val="20"/>
        </w:rPr>
      </w:pPr>
    </w:p>
    <w:p w14:paraId="0A3EA962" w14:textId="33279C52" w:rsidR="00EA098E" w:rsidRPr="00400516" w:rsidRDefault="00BD3BD6" w:rsidP="00BD3BD6">
      <w:pPr>
        <w:contextualSpacing/>
        <w:rPr>
          <w:rFonts w:ascii="Verdana" w:hAnsi="Verdana" w:cs="Arial"/>
          <w:sz w:val="20"/>
          <w:szCs w:val="20"/>
        </w:rPr>
      </w:pPr>
      <w:bookmarkStart w:id="0" w:name="_Hlk77329412"/>
      <w:r w:rsidRPr="00400516">
        <w:rPr>
          <w:rFonts w:ascii="Verdana" w:hAnsi="Verdana"/>
          <w:b/>
          <w:i/>
          <w:iCs/>
          <w:sz w:val="20"/>
          <w:szCs w:val="20"/>
        </w:rPr>
        <w:t>-------------------------</w:t>
      </w:r>
    </w:p>
    <w:p w14:paraId="5C0B230E" w14:textId="23475594" w:rsidR="00B8374F" w:rsidRPr="00400516" w:rsidRDefault="00B8374F" w:rsidP="00B8374F">
      <w:pPr>
        <w:jc w:val="both"/>
        <w:rPr>
          <w:rFonts w:ascii="Verdana" w:hAnsi="Verdana" w:cs="Arial"/>
          <w:b/>
          <w:bCs/>
          <w:sz w:val="20"/>
          <w:szCs w:val="20"/>
        </w:rPr>
      </w:pPr>
      <w:bookmarkStart w:id="1" w:name="_Hlk82712431"/>
      <w:bookmarkStart w:id="2" w:name="_Hlk86316677"/>
      <w:r w:rsidRPr="00400516">
        <w:rPr>
          <w:rFonts w:ascii="Verdana" w:hAnsi="Verdana" w:cs="Arial"/>
          <w:b/>
          <w:bCs/>
          <w:sz w:val="20"/>
          <w:szCs w:val="20"/>
        </w:rPr>
        <w:t xml:space="preserve">Sección </w:t>
      </w:r>
      <w:r w:rsidR="00012C2B" w:rsidRPr="00400516">
        <w:rPr>
          <w:rFonts w:ascii="Verdana" w:hAnsi="Verdana" w:cs="Arial"/>
          <w:b/>
          <w:bCs/>
          <w:sz w:val="20"/>
          <w:szCs w:val="20"/>
        </w:rPr>
        <w:t>2ª</w:t>
      </w:r>
      <w:r w:rsidRPr="00400516">
        <w:rPr>
          <w:rFonts w:ascii="Verdana" w:hAnsi="Verdana" w:cs="Arial"/>
          <w:b/>
          <w:bCs/>
          <w:sz w:val="20"/>
          <w:szCs w:val="20"/>
        </w:rPr>
        <w:t xml:space="preserve">. Integración de los </w:t>
      </w:r>
      <w:bookmarkStart w:id="3" w:name="_Hlk82712298"/>
      <w:r w:rsidRPr="00400516">
        <w:rPr>
          <w:rFonts w:ascii="Verdana" w:hAnsi="Verdana" w:cs="Arial"/>
          <w:b/>
          <w:bCs/>
          <w:sz w:val="20"/>
          <w:szCs w:val="20"/>
        </w:rPr>
        <w:t xml:space="preserve">Conservatorios de Música y Danza de las Administraciones Locales en la Red Valenciana de titularidad de la Generalitat. </w:t>
      </w:r>
    </w:p>
    <w:bookmarkEnd w:id="1"/>
    <w:bookmarkEnd w:id="3"/>
    <w:p w14:paraId="0B514840" w14:textId="77777777" w:rsidR="00012C2B" w:rsidRPr="00400516" w:rsidRDefault="00012C2B" w:rsidP="00B8374F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7EDF92F9" w14:textId="789B48D5" w:rsidR="00B8374F" w:rsidRPr="00400516" w:rsidRDefault="00012C2B" w:rsidP="00B8374F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400516">
        <w:rPr>
          <w:rFonts w:ascii="Verdana" w:hAnsi="Verdana" w:cs="Arial"/>
          <w:b/>
          <w:bCs/>
          <w:sz w:val="20"/>
          <w:szCs w:val="20"/>
        </w:rPr>
        <w:t>A</w:t>
      </w:r>
      <w:r w:rsidR="00B8374F" w:rsidRPr="00400516">
        <w:rPr>
          <w:rFonts w:ascii="Verdana" w:hAnsi="Verdana" w:cs="Arial"/>
          <w:b/>
          <w:bCs/>
          <w:sz w:val="20"/>
          <w:szCs w:val="20"/>
        </w:rPr>
        <w:t xml:space="preserve">rtículo </w:t>
      </w:r>
      <w:r w:rsidR="000647F7" w:rsidRPr="00400516">
        <w:rPr>
          <w:rFonts w:ascii="Verdana" w:hAnsi="Verdana" w:cs="Arial"/>
          <w:b/>
          <w:bCs/>
          <w:sz w:val="20"/>
          <w:szCs w:val="20"/>
        </w:rPr>
        <w:t>80</w:t>
      </w:r>
      <w:r w:rsidR="00B8374F" w:rsidRPr="00400516">
        <w:rPr>
          <w:rFonts w:ascii="Verdana" w:hAnsi="Verdana" w:cs="Arial"/>
          <w:b/>
          <w:bCs/>
          <w:sz w:val="20"/>
          <w:szCs w:val="20"/>
        </w:rPr>
        <w:t xml:space="preserve">. </w:t>
      </w:r>
      <w:bookmarkStart w:id="4" w:name="_Hlk84416076"/>
      <w:r w:rsidR="00B8374F" w:rsidRPr="00400516">
        <w:rPr>
          <w:rFonts w:ascii="Verdana" w:hAnsi="Verdana" w:cs="Arial"/>
          <w:b/>
          <w:bCs/>
          <w:sz w:val="20"/>
          <w:szCs w:val="20"/>
        </w:rPr>
        <w:t xml:space="preserve">Régimen Jurídico de Integración de los Conservatorios de Música y Danza de las Administraciones Locales en la Red Valenciana de titularidad de la Generalitat. </w:t>
      </w:r>
    </w:p>
    <w:bookmarkEnd w:id="4"/>
    <w:p w14:paraId="0721674F" w14:textId="77777777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</w:p>
    <w:p w14:paraId="777833F7" w14:textId="03BF969A" w:rsidR="00BD22A3" w:rsidRPr="00400516" w:rsidRDefault="00BD22A3" w:rsidP="00BD22A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400516">
        <w:rPr>
          <w:rFonts w:ascii="Verdana" w:hAnsi="Verdana" w:cs="Arial"/>
          <w:b/>
          <w:bCs/>
          <w:sz w:val="20"/>
          <w:szCs w:val="20"/>
        </w:rPr>
        <w:t>1. Objeto.</w:t>
      </w:r>
    </w:p>
    <w:p w14:paraId="596E7FC4" w14:textId="04BF72F7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  <w:r w:rsidRPr="00400516">
        <w:rPr>
          <w:rFonts w:ascii="Verdana" w:hAnsi="Verdana" w:cs="Arial"/>
          <w:sz w:val="20"/>
          <w:szCs w:val="20"/>
        </w:rPr>
        <w:t>Se establece el procedimiento de integración de conservatorios</w:t>
      </w:r>
      <w:r w:rsidR="006A1C45" w:rsidRPr="00400516">
        <w:rPr>
          <w:rFonts w:ascii="Verdana" w:hAnsi="Verdana" w:cs="Arial"/>
          <w:sz w:val="20"/>
          <w:szCs w:val="20"/>
        </w:rPr>
        <w:t xml:space="preserve"> </w:t>
      </w:r>
      <w:proofErr w:type="gramStart"/>
      <w:r w:rsidR="006A1C45" w:rsidRPr="00400516">
        <w:rPr>
          <w:rFonts w:ascii="Verdana" w:hAnsi="Verdana" w:cs="Arial"/>
          <w:sz w:val="20"/>
          <w:szCs w:val="20"/>
        </w:rPr>
        <w:t xml:space="preserve">profesionales </w:t>
      </w:r>
      <w:r w:rsidRPr="00400516">
        <w:rPr>
          <w:rFonts w:ascii="Verdana" w:hAnsi="Verdana" w:cs="Arial"/>
          <w:sz w:val="20"/>
          <w:szCs w:val="20"/>
        </w:rPr>
        <w:t xml:space="preserve"> de</w:t>
      </w:r>
      <w:proofErr w:type="gramEnd"/>
      <w:r w:rsidRPr="00400516">
        <w:rPr>
          <w:rFonts w:ascii="Verdana" w:hAnsi="Verdana" w:cs="Arial"/>
          <w:sz w:val="20"/>
          <w:szCs w:val="20"/>
        </w:rPr>
        <w:t xml:space="preserve"> música y danza titularidad de administraciones locales en la Red Valenciana de conservatorios de música y danza de titularidad de la Generalitat, en el ámbito de la enseñanza de régimen especial.</w:t>
      </w:r>
    </w:p>
    <w:p w14:paraId="7F2877E9" w14:textId="77777777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</w:p>
    <w:p w14:paraId="4E8D338F" w14:textId="19D868E0" w:rsidR="00BD22A3" w:rsidRPr="00400516" w:rsidRDefault="00BD22A3" w:rsidP="00BD22A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400516">
        <w:rPr>
          <w:rFonts w:ascii="Verdana" w:hAnsi="Verdana" w:cs="Arial"/>
          <w:b/>
          <w:bCs/>
          <w:sz w:val="20"/>
          <w:szCs w:val="20"/>
        </w:rPr>
        <w:t>2. Ámbito de aplicación</w:t>
      </w:r>
    </w:p>
    <w:p w14:paraId="1E3C20B6" w14:textId="77777777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</w:p>
    <w:p w14:paraId="19FFCFFD" w14:textId="340890DF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  <w:r w:rsidRPr="00400516">
        <w:rPr>
          <w:rFonts w:ascii="Verdana" w:hAnsi="Verdana" w:cs="Arial"/>
          <w:sz w:val="20"/>
          <w:szCs w:val="20"/>
        </w:rPr>
        <w:t xml:space="preserve">El procedimiento de integración se aplica a los centros que tienen la consideración de conservatorios </w:t>
      </w:r>
      <w:r w:rsidR="00C86847" w:rsidRPr="00400516">
        <w:rPr>
          <w:rFonts w:ascii="Verdana" w:hAnsi="Verdana" w:cs="Arial"/>
          <w:sz w:val="20"/>
          <w:szCs w:val="20"/>
        </w:rPr>
        <w:t xml:space="preserve">profesionales </w:t>
      </w:r>
      <w:r w:rsidRPr="00400516">
        <w:rPr>
          <w:rFonts w:ascii="Verdana" w:hAnsi="Verdana" w:cs="Arial"/>
          <w:sz w:val="20"/>
          <w:szCs w:val="20"/>
        </w:rPr>
        <w:t xml:space="preserve">de música y danza, de acuerdo con el régimen vigente de creación o autorización de centros, que imparten enseñanzas incluidas en la Ley orgánica 2/2006, de 3 de mayo, de educación, modificada parcialmente por la Ley orgánica 3/2020, de 29 de diciembre, y que están inscritos como tales en el Registro de Centros Docentes de la </w:t>
      </w:r>
      <w:proofErr w:type="spellStart"/>
      <w:r w:rsidRPr="00400516">
        <w:rPr>
          <w:rFonts w:ascii="Verdana" w:hAnsi="Verdana" w:cs="Arial"/>
          <w:sz w:val="20"/>
          <w:szCs w:val="20"/>
        </w:rPr>
        <w:t>Comunitat</w:t>
      </w:r>
      <w:proofErr w:type="spellEnd"/>
      <w:r w:rsidRPr="00400516">
        <w:rPr>
          <w:rFonts w:ascii="Verdana" w:hAnsi="Verdana" w:cs="Arial"/>
          <w:sz w:val="20"/>
          <w:szCs w:val="20"/>
        </w:rPr>
        <w:t xml:space="preserve"> Valenciana que gestiona la </w:t>
      </w:r>
      <w:proofErr w:type="spellStart"/>
      <w:r w:rsidRPr="00400516">
        <w:rPr>
          <w:rFonts w:ascii="Verdana" w:hAnsi="Verdana" w:cs="Arial"/>
          <w:sz w:val="20"/>
          <w:szCs w:val="20"/>
        </w:rPr>
        <w:t>conselleria</w:t>
      </w:r>
      <w:proofErr w:type="spellEnd"/>
      <w:r w:rsidRPr="00400516">
        <w:rPr>
          <w:rFonts w:ascii="Verdana" w:hAnsi="Verdana" w:cs="Arial"/>
          <w:sz w:val="20"/>
          <w:szCs w:val="20"/>
        </w:rPr>
        <w:t xml:space="preserve"> competente en materia de educación.</w:t>
      </w:r>
    </w:p>
    <w:p w14:paraId="05DAEAFD" w14:textId="77777777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</w:p>
    <w:p w14:paraId="3A75A9BA" w14:textId="1110D198" w:rsidR="00BD22A3" w:rsidRPr="00400516" w:rsidRDefault="00BD22A3" w:rsidP="00BD22A3">
      <w:pPr>
        <w:jc w:val="both"/>
        <w:rPr>
          <w:rFonts w:ascii="Verdana" w:hAnsi="Verdana" w:cs="Arial"/>
          <w:b/>
          <w:bCs/>
          <w:sz w:val="20"/>
          <w:szCs w:val="20"/>
        </w:rPr>
      </w:pPr>
      <w:bookmarkStart w:id="5" w:name="_Hlk86336144"/>
      <w:r w:rsidRPr="00400516">
        <w:rPr>
          <w:rFonts w:ascii="Verdana" w:hAnsi="Verdana" w:cs="Arial"/>
          <w:b/>
          <w:bCs/>
          <w:sz w:val="20"/>
          <w:szCs w:val="20"/>
        </w:rPr>
        <w:t>3. Requisitos para la integración de centros docentes.</w:t>
      </w:r>
    </w:p>
    <w:p w14:paraId="4D457375" w14:textId="77777777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</w:p>
    <w:p w14:paraId="4EFD18CA" w14:textId="2AD1F3E2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  <w:r w:rsidRPr="00400516">
        <w:rPr>
          <w:rFonts w:ascii="Verdana" w:hAnsi="Verdana" w:cs="Arial"/>
          <w:sz w:val="20"/>
          <w:szCs w:val="20"/>
        </w:rPr>
        <w:t>1º. Los conservatorios</w:t>
      </w:r>
      <w:r w:rsidR="00C86847" w:rsidRPr="00400516">
        <w:rPr>
          <w:rFonts w:ascii="Verdana" w:hAnsi="Verdana" w:cs="Arial"/>
          <w:sz w:val="20"/>
          <w:szCs w:val="20"/>
        </w:rPr>
        <w:t xml:space="preserve"> profesionales </w:t>
      </w:r>
      <w:r w:rsidRPr="00400516">
        <w:rPr>
          <w:rFonts w:ascii="Verdana" w:hAnsi="Verdana" w:cs="Arial"/>
          <w:sz w:val="20"/>
          <w:szCs w:val="20"/>
        </w:rPr>
        <w:t xml:space="preserve">de música y danza </w:t>
      </w:r>
      <w:r w:rsidR="00C86847" w:rsidRPr="00400516">
        <w:rPr>
          <w:rFonts w:ascii="Verdana" w:hAnsi="Verdana" w:cs="Arial"/>
          <w:sz w:val="20"/>
          <w:szCs w:val="20"/>
        </w:rPr>
        <w:t xml:space="preserve">de titularidad municipal </w:t>
      </w:r>
      <w:r w:rsidRPr="00400516">
        <w:rPr>
          <w:rFonts w:ascii="Verdana" w:hAnsi="Verdana" w:cs="Arial"/>
          <w:sz w:val="20"/>
          <w:szCs w:val="20"/>
        </w:rPr>
        <w:t>se pueden integrar en la red de titularidad de la Generalitat cuando concurran los siguientes requisitos:</w:t>
      </w:r>
    </w:p>
    <w:p w14:paraId="5EACDD84" w14:textId="77777777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  <w:r w:rsidRPr="00400516">
        <w:rPr>
          <w:rFonts w:ascii="Verdana" w:hAnsi="Verdana" w:cs="Arial"/>
          <w:sz w:val="20"/>
          <w:szCs w:val="20"/>
        </w:rPr>
        <w:t>a) Solicitud del titular del centro. La solicitud se realizará por acuerdo del Plenario correspondiente.</w:t>
      </w:r>
    </w:p>
    <w:p w14:paraId="28BAEC84" w14:textId="77777777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  <w:r w:rsidRPr="00400516">
        <w:rPr>
          <w:rFonts w:ascii="Verdana" w:hAnsi="Verdana" w:cs="Arial"/>
          <w:sz w:val="20"/>
          <w:szCs w:val="20"/>
        </w:rPr>
        <w:t xml:space="preserve"> En todo caso, la solicitud deberá acompañarse de la siguiente documentación:</w:t>
      </w:r>
    </w:p>
    <w:p w14:paraId="26105C72" w14:textId="77777777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  <w:r w:rsidRPr="00400516">
        <w:rPr>
          <w:rFonts w:ascii="Verdana" w:hAnsi="Verdana" w:cs="Arial"/>
          <w:sz w:val="20"/>
          <w:szCs w:val="20"/>
        </w:rPr>
        <w:t>- Acuerdo de cesión gratuita a la Generalitat, por parte del órgano competente de la entidad local, del suelo y el inmueble donde se sitúe el centro docente y su equipamiento, libres de gravámenes y cargas.</w:t>
      </w:r>
    </w:p>
    <w:p w14:paraId="5CB748BF" w14:textId="77777777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  <w:r w:rsidRPr="00400516">
        <w:rPr>
          <w:rFonts w:ascii="Verdana" w:hAnsi="Verdana" w:cs="Arial"/>
          <w:sz w:val="20"/>
          <w:szCs w:val="20"/>
        </w:rPr>
        <w:t>- Acuerdo de cesión gratuita a la Generalitat, por parte del órgano competente de la entidad local, de los bienes muebles y equipos destinados a la actividad docente y no docente, libres de gravámenes y cargas.</w:t>
      </w:r>
    </w:p>
    <w:p w14:paraId="7E6E9E3A" w14:textId="4ACC9D94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  <w:r w:rsidRPr="00400516">
        <w:rPr>
          <w:rFonts w:ascii="Verdana" w:hAnsi="Verdana" w:cs="Arial"/>
          <w:sz w:val="20"/>
          <w:szCs w:val="20"/>
        </w:rPr>
        <w:t>- Informe del departamento de personal de la administración local sobre la situación administrativa y laboral del personal adscrito al centro objecto de integración.</w:t>
      </w:r>
    </w:p>
    <w:p w14:paraId="183B5330" w14:textId="366A57C6" w:rsidR="00B06646" w:rsidRPr="00400516" w:rsidRDefault="00B06646" w:rsidP="00B06646">
      <w:pPr>
        <w:jc w:val="both"/>
        <w:rPr>
          <w:rFonts w:ascii="Verdana" w:hAnsi="Verdana" w:cs="Arial"/>
          <w:sz w:val="20"/>
          <w:szCs w:val="20"/>
        </w:rPr>
      </w:pPr>
      <w:r w:rsidRPr="00400516">
        <w:rPr>
          <w:rFonts w:ascii="Verdana" w:hAnsi="Verdana" w:cs="Arial"/>
          <w:sz w:val="20"/>
          <w:szCs w:val="20"/>
        </w:rPr>
        <w:t xml:space="preserve">- </w:t>
      </w:r>
      <w:r w:rsidR="004B38BB" w:rsidRPr="00400516">
        <w:rPr>
          <w:rFonts w:ascii="Verdana" w:hAnsi="Verdana" w:cs="Arial"/>
          <w:sz w:val="20"/>
          <w:szCs w:val="20"/>
        </w:rPr>
        <w:t>Informe de v</w:t>
      </w:r>
      <w:r w:rsidRPr="00400516">
        <w:rPr>
          <w:rFonts w:ascii="Verdana" w:hAnsi="Verdana" w:cs="Arial"/>
          <w:sz w:val="20"/>
          <w:szCs w:val="20"/>
        </w:rPr>
        <w:t>aloración del suelo y del inmueble, según lo establecido en el artículo 118 del Real Decreto 1372/1986, de 13 de junio, por el que se aprueba el Reglamento de Bienes de las Entidades Locales.</w:t>
      </w:r>
    </w:p>
    <w:p w14:paraId="6AFBC8AF" w14:textId="5D89086D" w:rsidR="00B06646" w:rsidRPr="00400516" w:rsidRDefault="00302956" w:rsidP="00B06646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="00B06646" w:rsidRPr="00400516">
        <w:rPr>
          <w:rFonts w:ascii="Verdana" w:hAnsi="Verdana" w:cs="Arial"/>
          <w:sz w:val="20"/>
          <w:szCs w:val="20"/>
        </w:rPr>
        <w:t xml:space="preserve">A la documentación reflejada en </w:t>
      </w:r>
      <w:r>
        <w:rPr>
          <w:rFonts w:ascii="Verdana" w:hAnsi="Verdana" w:cs="Arial"/>
          <w:sz w:val="20"/>
          <w:szCs w:val="20"/>
        </w:rPr>
        <w:t xml:space="preserve">los puntos </w:t>
      </w:r>
      <w:r w:rsidR="00B06646" w:rsidRPr="00400516">
        <w:rPr>
          <w:rFonts w:ascii="Verdana" w:hAnsi="Verdana" w:cs="Arial"/>
          <w:sz w:val="20"/>
          <w:szCs w:val="20"/>
        </w:rPr>
        <w:t>anterior</w:t>
      </w:r>
      <w:r>
        <w:rPr>
          <w:rFonts w:ascii="Verdana" w:hAnsi="Verdana" w:cs="Arial"/>
          <w:sz w:val="20"/>
          <w:szCs w:val="20"/>
        </w:rPr>
        <w:t>es</w:t>
      </w:r>
      <w:r w:rsidR="00B06646" w:rsidRPr="00400516">
        <w:rPr>
          <w:rFonts w:ascii="Verdana" w:hAnsi="Verdana" w:cs="Arial"/>
          <w:sz w:val="20"/>
          <w:szCs w:val="20"/>
        </w:rPr>
        <w:t xml:space="preserve"> se le acompañará aquella otra, consecuencia de la aplicación de otros trámites aplicables conforme a la normativa estatal básica </w:t>
      </w:r>
      <w:r w:rsidR="00223C96">
        <w:rPr>
          <w:rFonts w:ascii="Verdana" w:hAnsi="Verdana" w:cs="Arial"/>
          <w:sz w:val="20"/>
          <w:szCs w:val="20"/>
        </w:rPr>
        <w:t>y autonómica</w:t>
      </w:r>
      <w:r w:rsidR="004D0A7E">
        <w:rPr>
          <w:rFonts w:ascii="Verdana" w:hAnsi="Verdana" w:cs="Arial"/>
          <w:sz w:val="20"/>
          <w:szCs w:val="20"/>
        </w:rPr>
        <w:t>, en lo referente a estas enseñanzas, así como</w:t>
      </w:r>
      <w:r w:rsidR="00B06646" w:rsidRPr="00400516">
        <w:rPr>
          <w:rFonts w:ascii="Verdana" w:hAnsi="Verdana" w:cs="Arial"/>
          <w:sz w:val="20"/>
          <w:szCs w:val="20"/>
        </w:rPr>
        <w:t xml:space="preserve"> la legislación patrimonial de la Generalitat, regulada en la </w:t>
      </w:r>
      <w:r w:rsidR="00C722D2" w:rsidRPr="00400516">
        <w:rPr>
          <w:rFonts w:ascii="Verdana" w:hAnsi="Verdana" w:cs="Arial"/>
          <w:sz w:val="20"/>
          <w:szCs w:val="20"/>
        </w:rPr>
        <w:t>Ley 14/2003, de 10 de abril, de Patrimonio de la Generalitat Valenciana.</w:t>
      </w:r>
    </w:p>
    <w:bookmarkEnd w:id="5"/>
    <w:p w14:paraId="26C615B4" w14:textId="77777777" w:rsidR="00B06646" w:rsidRPr="00400516" w:rsidRDefault="00B06646" w:rsidP="00BD22A3">
      <w:pPr>
        <w:jc w:val="both"/>
        <w:rPr>
          <w:rFonts w:ascii="Verdana" w:hAnsi="Verdana" w:cs="Arial"/>
          <w:sz w:val="20"/>
          <w:szCs w:val="20"/>
        </w:rPr>
      </w:pPr>
    </w:p>
    <w:p w14:paraId="74B904EA" w14:textId="7C6B3507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  <w:bookmarkStart w:id="6" w:name="_Hlk86336223"/>
      <w:r w:rsidRPr="00400516">
        <w:rPr>
          <w:rFonts w:ascii="Verdana" w:hAnsi="Verdana" w:cs="Arial"/>
          <w:sz w:val="20"/>
          <w:szCs w:val="20"/>
        </w:rPr>
        <w:t>2º. El expediente de creación de centros educativos por integración en la red de titularidad de la Generalitat ha de contener:</w:t>
      </w:r>
    </w:p>
    <w:p w14:paraId="78FE69EF" w14:textId="77777777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  <w:r w:rsidRPr="00400516">
        <w:rPr>
          <w:rFonts w:ascii="Verdana" w:hAnsi="Verdana" w:cs="Arial"/>
          <w:sz w:val="20"/>
          <w:szCs w:val="20"/>
        </w:rPr>
        <w:t xml:space="preserve">a) Informe motivando las necesidades de escolarización que ha de satisfacer la </w:t>
      </w:r>
      <w:proofErr w:type="spellStart"/>
      <w:r w:rsidRPr="00400516">
        <w:rPr>
          <w:rFonts w:ascii="Verdana" w:hAnsi="Verdana" w:cs="Arial"/>
          <w:sz w:val="20"/>
          <w:szCs w:val="20"/>
        </w:rPr>
        <w:t>conselleria</w:t>
      </w:r>
      <w:proofErr w:type="spellEnd"/>
      <w:r w:rsidRPr="00400516">
        <w:rPr>
          <w:rFonts w:ascii="Verdana" w:hAnsi="Verdana" w:cs="Arial"/>
          <w:sz w:val="20"/>
          <w:szCs w:val="20"/>
        </w:rPr>
        <w:t xml:space="preserve"> competente en materia de educación para garantizar el derecho a la educación, de conformidad con la programación de la Red Valenciana de Conservatorios de Música y Danza de la Conselleria competente en materia de Educación.</w:t>
      </w:r>
    </w:p>
    <w:p w14:paraId="5332E970" w14:textId="77777777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  <w:r w:rsidRPr="00400516">
        <w:rPr>
          <w:rFonts w:ascii="Verdana" w:hAnsi="Verdana" w:cs="Arial"/>
          <w:sz w:val="20"/>
          <w:szCs w:val="20"/>
        </w:rPr>
        <w:t>b) Informe económico relativo al coste del personal docente y del personal de administración y servicios, así como otros costes derivados del funcionamiento del centro, según el número de unidades y de enseñanzas que impartan.</w:t>
      </w:r>
    </w:p>
    <w:p w14:paraId="63325204" w14:textId="37B6624D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  <w:r w:rsidRPr="00400516">
        <w:rPr>
          <w:rFonts w:ascii="Verdana" w:hAnsi="Verdana" w:cs="Arial"/>
          <w:sz w:val="20"/>
          <w:szCs w:val="20"/>
        </w:rPr>
        <w:t xml:space="preserve">c) </w:t>
      </w:r>
      <w:r w:rsidR="00C7754A" w:rsidRPr="00400516">
        <w:rPr>
          <w:rFonts w:ascii="Verdana" w:hAnsi="Verdana" w:cs="Arial"/>
          <w:sz w:val="20"/>
          <w:szCs w:val="20"/>
        </w:rPr>
        <w:t>I</w:t>
      </w:r>
      <w:r w:rsidRPr="00400516">
        <w:rPr>
          <w:rFonts w:ascii="Verdana" w:hAnsi="Verdana" w:cs="Arial"/>
          <w:sz w:val="20"/>
          <w:szCs w:val="20"/>
        </w:rPr>
        <w:t xml:space="preserve">nforme del órgano competente en materia de patrimonio de la Generalitat, sobre el suelo y el inmueble donde se sitúa el centro a integrar, que </w:t>
      </w:r>
      <w:r w:rsidR="00C7754A" w:rsidRPr="00400516">
        <w:rPr>
          <w:rFonts w:ascii="Verdana" w:hAnsi="Verdana" w:cs="Arial"/>
          <w:sz w:val="20"/>
          <w:szCs w:val="20"/>
        </w:rPr>
        <w:t xml:space="preserve">deberá incluir que existe </w:t>
      </w:r>
      <w:r w:rsidRPr="00400516">
        <w:rPr>
          <w:rFonts w:ascii="Verdana" w:hAnsi="Verdana" w:cs="Arial"/>
          <w:sz w:val="20"/>
          <w:szCs w:val="20"/>
        </w:rPr>
        <w:t>disponibilidad presupuestaria para hacer frente a los gastos que se deriven de la integración del centro en la red de titularidad de la Generalitat.</w:t>
      </w:r>
    </w:p>
    <w:p w14:paraId="1C81459D" w14:textId="1FFF50BA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  <w:r w:rsidRPr="00400516">
        <w:rPr>
          <w:rFonts w:ascii="Verdana" w:hAnsi="Verdana" w:cs="Arial"/>
          <w:sz w:val="20"/>
          <w:szCs w:val="20"/>
        </w:rPr>
        <w:t xml:space="preserve">d) </w:t>
      </w:r>
      <w:r w:rsidR="00C7754A" w:rsidRPr="00400516">
        <w:rPr>
          <w:rFonts w:ascii="Verdana" w:hAnsi="Verdana" w:cs="Arial"/>
          <w:sz w:val="20"/>
          <w:szCs w:val="20"/>
        </w:rPr>
        <w:t>I</w:t>
      </w:r>
      <w:r w:rsidRPr="00400516">
        <w:rPr>
          <w:rFonts w:ascii="Verdana" w:hAnsi="Verdana" w:cs="Arial"/>
          <w:sz w:val="20"/>
          <w:szCs w:val="20"/>
        </w:rPr>
        <w:t xml:space="preserve">nforme favorable del órgano competente en materia de infraestructuras, sobre el cumplimiento del inmueble de los requisitos fijados en el Real </w:t>
      </w:r>
      <w:r w:rsidR="00C7754A" w:rsidRPr="00400516">
        <w:rPr>
          <w:rFonts w:ascii="Verdana" w:hAnsi="Verdana" w:cs="Arial"/>
          <w:sz w:val="20"/>
          <w:szCs w:val="20"/>
        </w:rPr>
        <w:t>D</w:t>
      </w:r>
      <w:r w:rsidRPr="00400516">
        <w:rPr>
          <w:rFonts w:ascii="Verdana" w:hAnsi="Verdana" w:cs="Arial"/>
          <w:sz w:val="20"/>
          <w:szCs w:val="20"/>
        </w:rPr>
        <w:t>ecreto 303/2010 de 15 de marzo, por el que se establecen los requisitos mínimos de los centros que impart</w:t>
      </w:r>
      <w:r w:rsidR="00C7754A" w:rsidRPr="00400516">
        <w:rPr>
          <w:rFonts w:ascii="Verdana" w:hAnsi="Verdana" w:cs="Arial"/>
          <w:sz w:val="20"/>
          <w:szCs w:val="20"/>
        </w:rPr>
        <w:t>an</w:t>
      </w:r>
      <w:r w:rsidRPr="00400516">
        <w:rPr>
          <w:rFonts w:ascii="Verdana" w:hAnsi="Verdana" w:cs="Arial"/>
          <w:sz w:val="20"/>
          <w:szCs w:val="20"/>
        </w:rPr>
        <w:t xml:space="preserve"> enseñanzas artísticas reguladas en la Ley Orgánica 2/2006, de 3 de mayo, de educación.</w:t>
      </w:r>
    </w:p>
    <w:p w14:paraId="32A069B1" w14:textId="77777777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</w:p>
    <w:p w14:paraId="240AF5A0" w14:textId="74C01E9F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  <w:bookmarkStart w:id="7" w:name="_Hlk86336239"/>
      <w:bookmarkEnd w:id="6"/>
      <w:r w:rsidRPr="00400516">
        <w:rPr>
          <w:rFonts w:ascii="Verdana" w:hAnsi="Verdana" w:cs="Arial"/>
          <w:sz w:val="20"/>
          <w:szCs w:val="20"/>
        </w:rPr>
        <w:t xml:space="preserve">3º. El contenido del acuerdo de la Administración local con la </w:t>
      </w:r>
      <w:proofErr w:type="spellStart"/>
      <w:r w:rsidRPr="00400516">
        <w:rPr>
          <w:rFonts w:ascii="Verdana" w:hAnsi="Verdana" w:cs="Arial"/>
          <w:sz w:val="20"/>
          <w:szCs w:val="20"/>
        </w:rPr>
        <w:t>conselleria</w:t>
      </w:r>
      <w:proofErr w:type="spellEnd"/>
      <w:r w:rsidRPr="00400516">
        <w:rPr>
          <w:rFonts w:ascii="Verdana" w:hAnsi="Verdana" w:cs="Arial"/>
          <w:sz w:val="20"/>
          <w:szCs w:val="20"/>
        </w:rPr>
        <w:t xml:space="preserve"> competente en materia de educación, de creación de conservatorios de música y danza por integración en la red de titularidad de la Generalitat </w:t>
      </w:r>
      <w:r w:rsidR="00C7754A" w:rsidRPr="00400516">
        <w:rPr>
          <w:rFonts w:ascii="Verdana" w:hAnsi="Verdana" w:cs="Arial"/>
          <w:sz w:val="20"/>
          <w:szCs w:val="20"/>
        </w:rPr>
        <w:t>se debe referir</w:t>
      </w:r>
      <w:r w:rsidR="002F7357" w:rsidRPr="00400516">
        <w:rPr>
          <w:rFonts w:ascii="Verdana" w:hAnsi="Verdana" w:cs="Arial"/>
          <w:sz w:val="20"/>
          <w:szCs w:val="20"/>
        </w:rPr>
        <w:t>, si las hubiera,</w:t>
      </w:r>
      <w:r w:rsidR="00C7754A" w:rsidRPr="00400516">
        <w:rPr>
          <w:rFonts w:ascii="Verdana" w:hAnsi="Verdana" w:cs="Arial"/>
          <w:sz w:val="20"/>
          <w:szCs w:val="20"/>
        </w:rPr>
        <w:t xml:space="preserve"> </w:t>
      </w:r>
      <w:r w:rsidRPr="00400516">
        <w:rPr>
          <w:rFonts w:ascii="Verdana" w:hAnsi="Verdana" w:cs="Arial"/>
          <w:sz w:val="20"/>
          <w:szCs w:val="20"/>
        </w:rPr>
        <w:t xml:space="preserve">a </w:t>
      </w:r>
      <w:r w:rsidR="00400516">
        <w:rPr>
          <w:rFonts w:ascii="Verdana" w:hAnsi="Verdana" w:cs="Arial"/>
          <w:sz w:val="20"/>
          <w:szCs w:val="20"/>
        </w:rPr>
        <w:t>l</w:t>
      </w:r>
      <w:r w:rsidRPr="00400516">
        <w:rPr>
          <w:rFonts w:ascii="Verdana" w:hAnsi="Verdana" w:cs="Arial"/>
          <w:sz w:val="20"/>
          <w:szCs w:val="20"/>
        </w:rPr>
        <w:t>as deudas de la gestión del centro</w:t>
      </w:r>
      <w:r w:rsidR="002F7357" w:rsidRPr="00400516">
        <w:rPr>
          <w:rFonts w:ascii="Verdana" w:hAnsi="Verdana" w:cs="Arial"/>
          <w:sz w:val="20"/>
          <w:szCs w:val="20"/>
        </w:rPr>
        <w:t xml:space="preserve"> </w:t>
      </w:r>
      <w:r w:rsidRPr="00400516">
        <w:rPr>
          <w:rFonts w:ascii="Verdana" w:hAnsi="Verdana" w:cs="Arial"/>
          <w:sz w:val="20"/>
          <w:szCs w:val="20"/>
        </w:rPr>
        <w:t>y la manera de pagarlas, estableciendo las garantías correspondientes.</w:t>
      </w:r>
    </w:p>
    <w:bookmarkEnd w:id="7"/>
    <w:p w14:paraId="1C1DE7E4" w14:textId="77777777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</w:p>
    <w:p w14:paraId="4255CA0E" w14:textId="4097C7CA" w:rsidR="00BD22A3" w:rsidRPr="00400516" w:rsidRDefault="00BD22A3" w:rsidP="00BD22A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400516">
        <w:rPr>
          <w:rFonts w:ascii="Verdana" w:hAnsi="Verdana" w:cs="Arial"/>
          <w:b/>
          <w:bCs/>
          <w:sz w:val="20"/>
          <w:szCs w:val="20"/>
        </w:rPr>
        <w:t>4. Procedimiento</w:t>
      </w:r>
    </w:p>
    <w:p w14:paraId="55A74148" w14:textId="77777777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</w:p>
    <w:p w14:paraId="703545B6" w14:textId="2CBC901D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  <w:r w:rsidRPr="00400516">
        <w:rPr>
          <w:rFonts w:ascii="Verdana" w:hAnsi="Verdana" w:cs="Arial"/>
          <w:sz w:val="20"/>
          <w:szCs w:val="20"/>
        </w:rPr>
        <w:t>1. Corresponde a la Conselleria competente en materia de educación la gestión del procedimiento de integración</w:t>
      </w:r>
      <w:r w:rsidR="007350C8" w:rsidRPr="00400516">
        <w:rPr>
          <w:rFonts w:ascii="Verdana" w:hAnsi="Verdana" w:cs="Arial"/>
          <w:sz w:val="20"/>
          <w:szCs w:val="20"/>
        </w:rPr>
        <w:t>, que en relación con el centro para el que se solicita la integración de un centro tiene que valorar</w:t>
      </w:r>
      <w:r w:rsidR="00161D1B" w:rsidRPr="00400516">
        <w:rPr>
          <w:rFonts w:ascii="Verdana" w:hAnsi="Verdana" w:cs="Arial"/>
          <w:sz w:val="20"/>
          <w:szCs w:val="20"/>
        </w:rPr>
        <w:t xml:space="preserve"> </w:t>
      </w:r>
      <w:r w:rsidRPr="00400516">
        <w:rPr>
          <w:rFonts w:ascii="Verdana" w:hAnsi="Verdana" w:cs="Arial"/>
          <w:sz w:val="20"/>
          <w:szCs w:val="20"/>
        </w:rPr>
        <w:t xml:space="preserve">la situación jurídica del suelo </w:t>
      </w:r>
      <w:r w:rsidR="001F1D1E" w:rsidRPr="00400516">
        <w:rPr>
          <w:rFonts w:ascii="Verdana" w:hAnsi="Verdana" w:cs="Arial"/>
          <w:sz w:val="20"/>
          <w:szCs w:val="20"/>
        </w:rPr>
        <w:t xml:space="preserve">y </w:t>
      </w:r>
      <w:r w:rsidRPr="00400516">
        <w:rPr>
          <w:rFonts w:ascii="Verdana" w:hAnsi="Verdana" w:cs="Arial"/>
          <w:sz w:val="20"/>
          <w:szCs w:val="20"/>
        </w:rPr>
        <w:t>del inmueble en los cuales está situado, de acuerdo con el informe emitido por el órgano que tenga atribuidas las competencias en materia de patrimonio de la Generalitat.</w:t>
      </w:r>
    </w:p>
    <w:p w14:paraId="46C05406" w14:textId="384FDCED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  <w:r w:rsidRPr="00400516">
        <w:rPr>
          <w:rFonts w:ascii="Verdana" w:hAnsi="Verdana" w:cs="Arial"/>
          <w:sz w:val="20"/>
          <w:szCs w:val="20"/>
        </w:rPr>
        <w:t>2. El procedimiento de integración en la red de titularidad de la Generalitat exigirá la subscripción de un convenio que concrete y regule los derechos y obligaciones que asumen cada una de las partes</w:t>
      </w:r>
      <w:r w:rsidR="009E0D71" w:rsidRPr="00400516">
        <w:rPr>
          <w:rFonts w:ascii="Verdana" w:hAnsi="Verdana" w:cs="Arial"/>
          <w:sz w:val="20"/>
          <w:szCs w:val="20"/>
        </w:rPr>
        <w:t xml:space="preserve">, y que deberá tener en cuenta la legislación básica en esta materia, en concreto, lo dispuesto en los artículos 49 a 53 de la Ley 40/2015, </w:t>
      </w:r>
      <w:r w:rsidR="001604F5" w:rsidRPr="00400516">
        <w:rPr>
          <w:rFonts w:ascii="Verdana" w:hAnsi="Verdana" w:cs="Arial"/>
          <w:sz w:val="20"/>
          <w:szCs w:val="20"/>
        </w:rPr>
        <w:t xml:space="preserve">de 1 de octubre, </w:t>
      </w:r>
      <w:r w:rsidR="009E0D71" w:rsidRPr="00400516">
        <w:rPr>
          <w:rFonts w:ascii="Verdana" w:hAnsi="Verdana" w:cs="Arial"/>
          <w:sz w:val="20"/>
          <w:szCs w:val="20"/>
        </w:rPr>
        <w:t>de régimen jurídico del sector público</w:t>
      </w:r>
      <w:r w:rsidR="002F7357" w:rsidRPr="00400516">
        <w:rPr>
          <w:rFonts w:ascii="Verdana" w:hAnsi="Verdana" w:cs="Arial"/>
          <w:sz w:val="20"/>
          <w:szCs w:val="20"/>
        </w:rPr>
        <w:t>.</w:t>
      </w:r>
    </w:p>
    <w:p w14:paraId="5B643C3A" w14:textId="25FA0CE0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  <w:r w:rsidRPr="00400516">
        <w:rPr>
          <w:rFonts w:ascii="Verdana" w:hAnsi="Verdana" w:cs="Arial"/>
          <w:sz w:val="20"/>
          <w:szCs w:val="20"/>
        </w:rPr>
        <w:t xml:space="preserve">3. La integración de centros educativos en la red de titularidad de la Generalitat se aprobará por acuerdo del Consell relativo a la creación de centros educativos por integración, que se ha de publicar en el Diario Oficial de la Generalitat Valenciana, a propuesta de la </w:t>
      </w:r>
      <w:proofErr w:type="spellStart"/>
      <w:r w:rsidRPr="00400516">
        <w:rPr>
          <w:rFonts w:ascii="Verdana" w:hAnsi="Verdana" w:cs="Arial"/>
          <w:sz w:val="20"/>
          <w:szCs w:val="20"/>
        </w:rPr>
        <w:t>conselleria</w:t>
      </w:r>
      <w:proofErr w:type="spellEnd"/>
      <w:r w:rsidRPr="00400516">
        <w:rPr>
          <w:rFonts w:ascii="Verdana" w:hAnsi="Verdana" w:cs="Arial"/>
          <w:sz w:val="20"/>
          <w:szCs w:val="20"/>
        </w:rPr>
        <w:t xml:space="preserve"> competente en materia de educación.</w:t>
      </w:r>
    </w:p>
    <w:p w14:paraId="04CCA98C" w14:textId="77777777" w:rsidR="009C1376" w:rsidRPr="00400516" w:rsidRDefault="009C1376" w:rsidP="00BD22A3">
      <w:pPr>
        <w:jc w:val="both"/>
        <w:rPr>
          <w:rFonts w:ascii="Verdana" w:hAnsi="Verdana" w:cs="Arial"/>
          <w:sz w:val="20"/>
          <w:szCs w:val="20"/>
        </w:rPr>
      </w:pPr>
    </w:p>
    <w:p w14:paraId="2F6752F1" w14:textId="77777777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</w:p>
    <w:p w14:paraId="5E565B67" w14:textId="77777777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</w:p>
    <w:p w14:paraId="31FD6B5D" w14:textId="61C845FE" w:rsidR="00BD22A3" w:rsidRPr="00400516" w:rsidRDefault="00BD22A3" w:rsidP="00BD22A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400516">
        <w:rPr>
          <w:rFonts w:ascii="Verdana" w:hAnsi="Verdana" w:cs="Arial"/>
          <w:b/>
          <w:bCs/>
          <w:sz w:val="20"/>
          <w:szCs w:val="20"/>
        </w:rPr>
        <w:t xml:space="preserve">5. Efectos en relación con el personal </w:t>
      </w:r>
      <w:r w:rsidR="00D85E36" w:rsidRPr="00400516">
        <w:rPr>
          <w:rFonts w:ascii="Verdana" w:hAnsi="Verdana" w:cs="Arial"/>
          <w:b/>
          <w:bCs/>
          <w:sz w:val="20"/>
          <w:szCs w:val="20"/>
        </w:rPr>
        <w:t>docente</w:t>
      </w:r>
    </w:p>
    <w:p w14:paraId="42D62593" w14:textId="77777777" w:rsidR="00BD22A3" w:rsidRPr="00400516" w:rsidRDefault="00BD22A3" w:rsidP="00BD22A3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620CACAB" w14:textId="15CD285C" w:rsidR="00BD22A3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  <w:r w:rsidRPr="00400516">
        <w:rPr>
          <w:rFonts w:ascii="Verdana" w:hAnsi="Verdana" w:cs="Arial"/>
          <w:sz w:val="20"/>
          <w:szCs w:val="20"/>
        </w:rPr>
        <w:t>1º.</w:t>
      </w:r>
      <w:r w:rsidR="001F1D1E" w:rsidRPr="00400516">
        <w:rPr>
          <w:rFonts w:ascii="Verdana" w:hAnsi="Verdana" w:cs="Arial"/>
          <w:sz w:val="20"/>
          <w:szCs w:val="20"/>
        </w:rPr>
        <w:t xml:space="preserve"> </w:t>
      </w:r>
      <w:r w:rsidRPr="00400516">
        <w:rPr>
          <w:rFonts w:ascii="Verdana" w:hAnsi="Verdana" w:cs="Arial"/>
          <w:sz w:val="20"/>
          <w:szCs w:val="20"/>
        </w:rPr>
        <w:t xml:space="preserve">El personal docente funcionario de carrera o laboral fijo adscrito a los servicios </w:t>
      </w:r>
      <w:r w:rsidR="001F1D1E" w:rsidRPr="00400516">
        <w:rPr>
          <w:rFonts w:ascii="Verdana" w:hAnsi="Verdana" w:cs="Arial"/>
          <w:sz w:val="20"/>
          <w:szCs w:val="20"/>
        </w:rPr>
        <w:t>y</w:t>
      </w:r>
      <w:r w:rsidRPr="00400516">
        <w:rPr>
          <w:rFonts w:ascii="Verdana" w:hAnsi="Verdana" w:cs="Arial"/>
          <w:sz w:val="20"/>
          <w:szCs w:val="20"/>
        </w:rPr>
        <w:t xml:space="preserve"> establecimientos que se traspasan permanecerá en la Administración de origen respectiva. Este personal </w:t>
      </w:r>
      <w:r w:rsidR="00D85E36" w:rsidRPr="00400516">
        <w:rPr>
          <w:rFonts w:ascii="Verdana" w:hAnsi="Verdana" w:cs="Arial"/>
          <w:sz w:val="20"/>
          <w:szCs w:val="20"/>
        </w:rPr>
        <w:t xml:space="preserve">formará </w:t>
      </w:r>
      <w:r w:rsidR="001604F5" w:rsidRPr="00400516">
        <w:rPr>
          <w:rFonts w:ascii="Verdana" w:hAnsi="Verdana" w:cs="Arial"/>
          <w:sz w:val="20"/>
          <w:szCs w:val="20"/>
        </w:rPr>
        <w:t xml:space="preserve">parte </w:t>
      </w:r>
      <w:r w:rsidR="00D85E36" w:rsidRPr="00400516">
        <w:rPr>
          <w:rFonts w:ascii="Verdana" w:hAnsi="Verdana" w:cs="Arial"/>
          <w:sz w:val="20"/>
          <w:szCs w:val="20"/>
        </w:rPr>
        <w:t>d</w:t>
      </w:r>
      <w:r w:rsidRPr="00400516">
        <w:rPr>
          <w:rFonts w:ascii="Verdana" w:hAnsi="Verdana" w:cs="Arial"/>
          <w:sz w:val="20"/>
          <w:szCs w:val="20"/>
        </w:rPr>
        <w:t>el claustr</w:t>
      </w:r>
      <w:r w:rsidR="001F1D1E" w:rsidRPr="00400516">
        <w:rPr>
          <w:rFonts w:ascii="Verdana" w:hAnsi="Verdana" w:cs="Arial"/>
          <w:sz w:val="20"/>
          <w:szCs w:val="20"/>
        </w:rPr>
        <w:t>o</w:t>
      </w:r>
      <w:r w:rsidRPr="00400516">
        <w:rPr>
          <w:rFonts w:ascii="Verdana" w:hAnsi="Verdana" w:cs="Arial"/>
          <w:sz w:val="20"/>
          <w:szCs w:val="20"/>
        </w:rPr>
        <w:t xml:space="preserve"> del centr</w:t>
      </w:r>
      <w:r w:rsidR="001F1D1E" w:rsidRPr="00400516">
        <w:rPr>
          <w:rFonts w:ascii="Verdana" w:hAnsi="Verdana" w:cs="Arial"/>
          <w:sz w:val="20"/>
          <w:szCs w:val="20"/>
        </w:rPr>
        <w:t>o</w:t>
      </w:r>
      <w:r w:rsidRPr="00400516">
        <w:rPr>
          <w:rFonts w:ascii="Verdana" w:hAnsi="Verdana" w:cs="Arial"/>
          <w:sz w:val="20"/>
          <w:szCs w:val="20"/>
        </w:rPr>
        <w:t xml:space="preserve"> educativo</w:t>
      </w:r>
      <w:r w:rsidR="00FF03CD" w:rsidRPr="00400516">
        <w:rPr>
          <w:rFonts w:ascii="Verdana" w:hAnsi="Verdana" w:cs="Arial"/>
          <w:sz w:val="20"/>
          <w:szCs w:val="20"/>
        </w:rPr>
        <w:t xml:space="preserve"> y del consejo escolar del mismo, en caso de ser elegido</w:t>
      </w:r>
      <w:r w:rsidRPr="00400516">
        <w:rPr>
          <w:rFonts w:ascii="Verdana" w:hAnsi="Verdana" w:cs="Arial"/>
          <w:sz w:val="20"/>
          <w:szCs w:val="20"/>
        </w:rPr>
        <w:t>.</w:t>
      </w:r>
    </w:p>
    <w:p w14:paraId="447035E6" w14:textId="08D1C2FA" w:rsidR="00D930B2" w:rsidRPr="00400516" w:rsidRDefault="00BD22A3" w:rsidP="00BD22A3">
      <w:pPr>
        <w:jc w:val="both"/>
        <w:rPr>
          <w:rFonts w:ascii="Verdana" w:hAnsi="Verdana" w:cs="Arial"/>
          <w:sz w:val="20"/>
          <w:szCs w:val="20"/>
        </w:rPr>
      </w:pPr>
      <w:r w:rsidRPr="00400516">
        <w:rPr>
          <w:rFonts w:ascii="Verdana" w:hAnsi="Verdana" w:cs="Arial"/>
          <w:sz w:val="20"/>
          <w:szCs w:val="20"/>
        </w:rPr>
        <w:t>2º.</w:t>
      </w:r>
      <w:r w:rsidR="001F1D1E" w:rsidRPr="00400516">
        <w:rPr>
          <w:rFonts w:ascii="Verdana" w:hAnsi="Verdana" w:cs="Arial"/>
          <w:sz w:val="20"/>
          <w:szCs w:val="20"/>
        </w:rPr>
        <w:t xml:space="preserve"> </w:t>
      </w:r>
      <w:r w:rsidRPr="00400516">
        <w:rPr>
          <w:rFonts w:ascii="Verdana" w:hAnsi="Verdana" w:cs="Arial"/>
          <w:sz w:val="20"/>
          <w:szCs w:val="20"/>
        </w:rPr>
        <w:t xml:space="preserve">Las nuevas necesidades de personal se cubrirán por la Administración educativa a través de la creación de los correspondientes puestos de trabajo y su provisión. </w:t>
      </w:r>
      <w:bookmarkEnd w:id="0"/>
      <w:bookmarkEnd w:id="2"/>
    </w:p>
    <w:sectPr w:rsidR="00D930B2" w:rsidRPr="00400516">
      <w:footerReference w:type="default" r:id="rId8"/>
      <w:pgSz w:w="11906" w:h="16838"/>
      <w:pgMar w:top="720" w:right="1134" w:bottom="1134" w:left="1134" w:header="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D3882" w14:textId="77777777" w:rsidR="00A51B9E" w:rsidRDefault="00A51B9E">
      <w:r>
        <w:separator/>
      </w:r>
    </w:p>
  </w:endnote>
  <w:endnote w:type="continuationSeparator" w:id="0">
    <w:p w14:paraId="2A58EA1E" w14:textId="77777777" w:rsidR="00A51B9E" w:rsidRDefault="00A5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mbria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anda">
    <w:panose1 w:val="020B0603030804020204"/>
    <w:charset w:val="00"/>
    <w:family w:val="swiss"/>
    <w:pitch w:val="variable"/>
    <w:sig w:usb0="800000AF" w:usb1="4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0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DA42B" w14:textId="77777777" w:rsidR="006A1C45" w:rsidRDefault="006A1C45">
    <w:pPr>
      <w:pStyle w:val="Piedepgina"/>
      <w:jc w:val="center"/>
    </w:pPr>
    <w:r>
      <w:rPr>
        <w:rFonts w:ascii="Calibri" w:hAnsi="Calibri"/>
        <w:color w:val="4C4C4C"/>
        <w:sz w:val="16"/>
        <w:szCs w:val="16"/>
      </w:rPr>
      <w:t xml:space="preserve">Página </w:t>
    </w:r>
    <w:r>
      <w:rPr>
        <w:rFonts w:ascii="Calibri" w:hAnsi="Calibri"/>
        <w:color w:val="4C4C4C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>PAGE</w:instrText>
    </w:r>
    <w:r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12</w:t>
    </w:r>
    <w:r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color w:val="4C4C4C"/>
        <w:sz w:val="16"/>
        <w:szCs w:val="16"/>
      </w:rPr>
      <w:t xml:space="preserve"> de </w:t>
    </w:r>
    <w:r>
      <w:rPr>
        <w:rFonts w:ascii="Calibri" w:hAnsi="Calibri"/>
        <w:color w:val="4C4C4C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>NUMPAGES</w:instrText>
    </w:r>
    <w:r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14</w:t>
    </w:r>
    <w:r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23990" w14:textId="77777777" w:rsidR="00A51B9E" w:rsidRDefault="00A51B9E">
      <w:r>
        <w:separator/>
      </w:r>
    </w:p>
  </w:footnote>
  <w:footnote w:type="continuationSeparator" w:id="0">
    <w:p w14:paraId="7A57E678" w14:textId="77777777" w:rsidR="00A51B9E" w:rsidRDefault="00A51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379CC"/>
    <w:multiLevelType w:val="multilevel"/>
    <w:tmpl w:val="CA34E9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282EA0"/>
    <w:multiLevelType w:val="hybridMultilevel"/>
    <w:tmpl w:val="CFA0C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D12DA"/>
    <w:multiLevelType w:val="hybridMultilevel"/>
    <w:tmpl w:val="534879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7B2D"/>
    <w:multiLevelType w:val="hybridMultilevel"/>
    <w:tmpl w:val="DAE05A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96FF2"/>
    <w:multiLevelType w:val="hybridMultilevel"/>
    <w:tmpl w:val="38A6C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88"/>
    <w:rsid w:val="00011E64"/>
    <w:rsid w:val="00012C2B"/>
    <w:rsid w:val="000131EB"/>
    <w:rsid w:val="00016515"/>
    <w:rsid w:val="000247C8"/>
    <w:rsid w:val="0002790E"/>
    <w:rsid w:val="0004140A"/>
    <w:rsid w:val="000647F7"/>
    <w:rsid w:val="000747CD"/>
    <w:rsid w:val="00077E6D"/>
    <w:rsid w:val="000A1F01"/>
    <w:rsid w:val="00112A02"/>
    <w:rsid w:val="00116A44"/>
    <w:rsid w:val="00144318"/>
    <w:rsid w:val="0015509C"/>
    <w:rsid w:val="001604F5"/>
    <w:rsid w:val="00161D1B"/>
    <w:rsid w:val="00181526"/>
    <w:rsid w:val="00192E26"/>
    <w:rsid w:val="00194369"/>
    <w:rsid w:val="001B60C8"/>
    <w:rsid w:val="001C33A6"/>
    <w:rsid w:val="001D2791"/>
    <w:rsid w:val="001F1D1E"/>
    <w:rsid w:val="002129FE"/>
    <w:rsid w:val="00223C96"/>
    <w:rsid w:val="002800DF"/>
    <w:rsid w:val="00295B5E"/>
    <w:rsid w:val="002B2115"/>
    <w:rsid w:val="002F7357"/>
    <w:rsid w:val="00302956"/>
    <w:rsid w:val="00312296"/>
    <w:rsid w:val="003274D9"/>
    <w:rsid w:val="00392113"/>
    <w:rsid w:val="00396002"/>
    <w:rsid w:val="003C797C"/>
    <w:rsid w:val="003D0F66"/>
    <w:rsid w:val="00400516"/>
    <w:rsid w:val="004017B5"/>
    <w:rsid w:val="004264AF"/>
    <w:rsid w:val="00430218"/>
    <w:rsid w:val="004539DC"/>
    <w:rsid w:val="00453F5C"/>
    <w:rsid w:val="00462870"/>
    <w:rsid w:val="00476A88"/>
    <w:rsid w:val="004B38BB"/>
    <w:rsid w:val="004D0A7E"/>
    <w:rsid w:val="004D7D6D"/>
    <w:rsid w:val="004F7594"/>
    <w:rsid w:val="00512A0C"/>
    <w:rsid w:val="0054107A"/>
    <w:rsid w:val="00593101"/>
    <w:rsid w:val="005A4E20"/>
    <w:rsid w:val="005C14E1"/>
    <w:rsid w:val="005F1768"/>
    <w:rsid w:val="005F7A8C"/>
    <w:rsid w:val="00600EEA"/>
    <w:rsid w:val="00611C96"/>
    <w:rsid w:val="00644756"/>
    <w:rsid w:val="006746DD"/>
    <w:rsid w:val="006A1C45"/>
    <w:rsid w:val="006B36D7"/>
    <w:rsid w:val="006C1C5D"/>
    <w:rsid w:val="006C26BC"/>
    <w:rsid w:val="006E15E3"/>
    <w:rsid w:val="006F48FE"/>
    <w:rsid w:val="00720AE7"/>
    <w:rsid w:val="00721A9F"/>
    <w:rsid w:val="007350C8"/>
    <w:rsid w:val="00747766"/>
    <w:rsid w:val="00755E10"/>
    <w:rsid w:val="00757581"/>
    <w:rsid w:val="007605B1"/>
    <w:rsid w:val="0076779F"/>
    <w:rsid w:val="00776CAD"/>
    <w:rsid w:val="007C181F"/>
    <w:rsid w:val="007D0596"/>
    <w:rsid w:val="007D26F0"/>
    <w:rsid w:val="007D63DE"/>
    <w:rsid w:val="007E40A5"/>
    <w:rsid w:val="008220F0"/>
    <w:rsid w:val="0084661E"/>
    <w:rsid w:val="008719AE"/>
    <w:rsid w:val="008766CD"/>
    <w:rsid w:val="008A26D8"/>
    <w:rsid w:val="008B46A6"/>
    <w:rsid w:val="00916164"/>
    <w:rsid w:val="00921475"/>
    <w:rsid w:val="009256B7"/>
    <w:rsid w:val="00932E82"/>
    <w:rsid w:val="009426E7"/>
    <w:rsid w:val="009A6E2F"/>
    <w:rsid w:val="009C1376"/>
    <w:rsid w:val="009D2269"/>
    <w:rsid w:val="009D7059"/>
    <w:rsid w:val="009E0D71"/>
    <w:rsid w:val="009F0653"/>
    <w:rsid w:val="00A1405F"/>
    <w:rsid w:val="00A367DB"/>
    <w:rsid w:val="00A43B18"/>
    <w:rsid w:val="00A51B9E"/>
    <w:rsid w:val="00A67028"/>
    <w:rsid w:val="00A71763"/>
    <w:rsid w:val="00AB13DC"/>
    <w:rsid w:val="00AC133B"/>
    <w:rsid w:val="00AE4A3C"/>
    <w:rsid w:val="00AE6D2D"/>
    <w:rsid w:val="00B011AE"/>
    <w:rsid w:val="00B05906"/>
    <w:rsid w:val="00B06646"/>
    <w:rsid w:val="00B4061A"/>
    <w:rsid w:val="00B8374F"/>
    <w:rsid w:val="00B844E3"/>
    <w:rsid w:val="00B85946"/>
    <w:rsid w:val="00B94C13"/>
    <w:rsid w:val="00BA7320"/>
    <w:rsid w:val="00BD22A3"/>
    <w:rsid w:val="00BD3BD6"/>
    <w:rsid w:val="00C00E96"/>
    <w:rsid w:val="00C12E1A"/>
    <w:rsid w:val="00C17789"/>
    <w:rsid w:val="00C65514"/>
    <w:rsid w:val="00C722D2"/>
    <w:rsid w:val="00C7754A"/>
    <w:rsid w:val="00C85082"/>
    <w:rsid w:val="00C86847"/>
    <w:rsid w:val="00C906B7"/>
    <w:rsid w:val="00C95197"/>
    <w:rsid w:val="00C96F3F"/>
    <w:rsid w:val="00CA1516"/>
    <w:rsid w:val="00CA4AD4"/>
    <w:rsid w:val="00D0084F"/>
    <w:rsid w:val="00D37F1B"/>
    <w:rsid w:val="00D47335"/>
    <w:rsid w:val="00D52389"/>
    <w:rsid w:val="00D67B37"/>
    <w:rsid w:val="00D85E36"/>
    <w:rsid w:val="00D872A6"/>
    <w:rsid w:val="00D930B2"/>
    <w:rsid w:val="00D957DA"/>
    <w:rsid w:val="00DA2A2D"/>
    <w:rsid w:val="00DE5B91"/>
    <w:rsid w:val="00DE785A"/>
    <w:rsid w:val="00E441E1"/>
    <w:rsid w:val="00E512B1"/>
    <w:rsid w:val="00E56887"/>
    <w:rsid w:val="00E61C60"/>
    <w:rsid w:val="00E82D2F"/>
    <w:rsid w:val="00E94090"/>
    <w:rsid w:val="00EA098E"/>
    <w:rsid w:val="00ED0388"/>
    <w:rsid w:val="00EE102F"/>
    <w:rsid w:val="00EE2766"/>
    <w:rsid w:val="00F07937"/>
    <w:rsid w:val="00F35D33"/>
    <w:rsid w:val="00F76C5C"/>
    <w:rsid w:val="00FC0FBE"/>
    <w:rsid w:val="00FC598A"/>
    <w:rsid w:val="00FC6D2E"/>
    <w:rsid w:val="00FE1BA3"/>
    <w:rsid w:val="00F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0C6E"/>
  <w15:docId w15:val="{6F098D41-5549-4F4B-9CE3-0544F307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2"/>
        <w:sz w:val="24"/>
        <w:szCs w:val="24"/>
        <w:lang w:val="es-E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A44"/>
    <w:pPr>
      <w:suppressAutoHyphens/>
    </w:pPr>
  </w:style>
  <w:style w:type="paragraph" w:styleId="Ttulo2">
    <w:name w:val="heading 2"/>
    <w:basedOn w:val="Encapalament"/>
    <w:uiPriority w:val="9"/>
    <w:unhideWhenUsed/>
    <w:qFormat/>
    <w:pPr>
      <w:numPr>
        <w:ilvl w:val="1"/>
        <w:numId w:val="1"/>
      </w:numPr>
      <w:outlineLvl w:val="1"/>
    </w:p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06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Encapalament"/>
    <w:next w:val="Textoindependiente"/>
    <w:link w:val="Ttulo5Car"/>
    <w:uiPriority w:val="9"/>
    <w:unhideWhenUsed/>
    <w:qFormat/>
    <w:pPr>
      <w:spacing w:before="120" w:after="60"/>
      <w:jc w:val="both"/>
      <w:outlineLvl w:val="4"/>
    </w:pPr>
    <w:rPr>
      <w:rFonts w:ascii="Veranda" w:eastAsia="Segoe UI" w:hAnsi="Veranda" w:cs="Arial"/>
      <w:b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rPr>
      <w:i/>
      <w:iCs/>
    </w:rPr>
  </w:style>
  <w:style w:type="character" w:customStyle="1" w:styleId="Fuentedeprrafopredeter1">
    <w:name w:val="Fuente de párrafo predeter.1"/>
    <w:qFormat/>
  </w:style>
  <w:style w:type="character" w:customStyle="1" w:styleId="linktodoc">
    <w:name w:val="linktodoc"/>
    <w:basedOn w:val="Fuentedeprrafopredeter1"/>
    <w:qFormat/>
  </w:style>
  <w:style w:type="character" w:customStyle="1" w:styleId="Carctersdenotaalpeu">
    <w:name w:val="Caràcters de nota al peu"/>
    <w:qFormat/>
  </w:style>
  <w:style w:type="character" w:customStyle="1" w:styleId="ncoradenotaalpeu">
    <w:name w:val="Àncora de nota al peu"/>
    <w:rPr>
      <w:position w:val="24"/>
      <w:sz w:val="16"/>
    </w:rPr>
  </w:style>
  <w:style w:type="character" w:customStyle="1" w:styleId="WW8Num2z0">
    <w:name w:val="WW8Num2z0"/>
    <w:qFormat/>
    <w:rPr>
      <w:rFonts w:cs="Calibri"/>
    </w:rPr>
  </w:style>
  <w:style w:type="character" w:customStyle="1" w:styleId="WW8Num3z0">
    <w:name w:val="WW8Num3z0"/>
    <w:qFormat/>
    <w:rPr>
      <w:rFonts w:ascii="Calibri" w:eastAsia="Calibri" w:hAnsi="Calibri" w:cs="Calibri"/>
      <w:sz w:val="22"/>
      <w:szCs w:val="22"/>
    </w:rPr>
  </w:style>
  <w:style w:type="character" w:customStyle="1" w:styleId="WW8Num4z0">
    <w:name w:val="WW8Num4z0"/>
    <w:qFormat/>
    <w:rPr>
      <w:rFonts w:cs="Calibri"/>
    </w:rPr>
  </w:style>
  <w:style w:type="character" w:customStyle="1" w:styleId="WW8Num5z0">
    <w:name w:val="WW8Num5z0"/>
    <w:qFormat/>
    <w:rPr>
      <w:rFonts w:ascii="Calibri" w:eastAsia="Calibri" w:hAnsi="Calibri" w:cs="Calibri"/>
      <w:sz w:val="22"/>
      <w:szCs w:val="22"/>
    </w:rPr>
  </w:style>
  <w:style w:type="character" w:customStyle="1" w:styleId="mfasifort">
    <w:name w:val="Èmfasi fort"/>
    <w:qFormat/>
    <w:rPr>
      <w:b/>
      <w:bCs/>
    </w:rPr>
  </w:style>
  <w:style w:type="character" w:customStyle="1" w:styleId="WWCharLFO1LVL1">
    <w:name w:val="WW_CharLFO1LVL1"/>
    <w:qFormat/>
    <w:rPr>
      <w:rFonts w:cs="Calibri"/>
    </w:rPr>
  </w:style>
  <w:style w:type="character" w:customStyle="1" w:styleId="WWCharLFO2LVL1">
    <w:name w:val="WW_CharLFO2LVL1"/>
    <w:qFormat/>
    <w:rPr>
      <w:rFonts w:ascii="Calibri" w:hAnsi="Calibri" w:cs="Calibri"/>
      <w:sz w:val="22"/>
      <w:szCs w:val="22"/>
    </w:rPr>
  </w:style>
  <w:style w:type="character" w:customStyle="1" w:styleId="WWCharLFO3LVL1">
    <w:name w:val="WW_CharLFO3LVL1"/>
    <w:qFormat/>
    <w:rPr>
      <w:rFonts w:cs="Calibri"/>
    </w:rPr>
  </w:style>
  <w:style w:type="character" w:customStyle="1" w:styleId="WWCharLFO4LVL1">
    <w:name w:val="WW_CharLFO4LVL1"/>
    <w:qFormat/>
    <w:rPr>
      <w:rFonts w:ascii="Calibri" w:hAnsi="Calibri" w:cs="Calibri"/>
      <w:sz w:val="22"/>
      <w:szCs w:val="22"/>
    </w:rPr>
  </w:style>
  <w:style w:type="character" w:customStyle="1" w:styleId="Pics">
    <w:name w:val="Pics"/>
    <w:qFormat/>
    <w:rPr>
      <w:rFonts w:ascii="OpenSymbol" w:eastAsia="OpenSymbol" w:hAnsi="OpenSymbol" w:cs="OpenSymbol"/>
    </w:rPr>
  </w:style>
  <w:style w:type="character" w:customStyle="1" w:styleId="mfasi1">
    <w:name w:val="Èmfasi1"/>
    <w:qFormat/>
    <w:rPr>
      <w:i/>
      <w:iCs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TextoindependienteCar">
    <w:name w:val="Texto independiente Car"/>
    <w:basedOn w:val="Fuentedeprrafopredeter"/>
    <w:qFormat/>
    <w:rPr>
      <w:rFonts w:cs="0"/>
    </w:rPr>
  </w:style>
  <w:style w:type="paragraph" w:customStyle="1" w:styleId="Encapalament">
    <w:name w:val="Encapçalament"/>
    <w:basedOn w:val="Normal"/>
    <w:qFormat/>
  </w:style>
  <w:style w:type="paragraph" w:styleId="Textoindependiente">
    <w:name w:val="Body Text"/>
    <w:basedOn w:val="Normal"/>
    <w:pPr>
      <w:spacing w:after="120"/>
    </w:pPr>
  </w:style>
  <w:style w:type="paragraph" w:customStyle="1" w:styleId="LO-Normal">
    <w:name w:val="LO-Normal"/>
    <w:qFormat/>
    <w:pPr>
      <w:widowControl w:val="0"/>
      <w:suppressAutoHyphens/>
    </w:pPr>
    <w:rPr>
      <w:lang w:eastAsia="zh-C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qFormat/>
    <w:pPr>
      <w:suppressLineNumbers/>
    </w:p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ingutdelataula">
    <w:name w:val="Contingut de la taula"/>
    <w:basedOn w:val="Normal"/>
    <w:qFormat/>
    <w:pPr>
      <w:suppressLineNumbers/>
    </w:p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Encapalamentdelataula">
    <w:name w:val="Encapçalament de la taula"/>
    <w:basedOn w:val="Contingutdelataula"/>
    <w:qFormat/>
  </w:style>
  <w:style w:type="paragraph" w:customStyle="1" w:styleId="tableheader2">
    <w:name w:val="tableheader2"/>
    <w:basedOn w:val="Normal"/>
    <w:qFormat/>
    <w:pPr>
      <w:spacing w:before="280" w:after="280"/>
    </w:pPr>
  </w:style>
  <w:style w:type="paragraph" w:customStyle="1" w:styleId="tablefooter2">
    <w:name w:val="tablefooter2"/>
    <w:basedOn w:val="Normal"/>
    <w:qFormat/>
    <w:pPr>
      <w:spacing w:before="280" w:after="280"/>
    </w:p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aconvietas3">
    <w:name w:val="List Bullet 3"/>
    <w:basedOn w:val="Normal"/>
    <w:pPr>
      <w:ind w:left="566" w:hanging="283"/>
    </w:pPr>
  </w:style>
  <w:style w:type="paragraph" w:styleId="Listaconvietas4">
    <w:name w:val="List Bullet 4"/>
    <w:basedOn w:val="Normal"/>
    <w:pPr>
      <w:ind w:left="849" w:hanging="283"/>
    </w:pPr>
  </w:style>
  <w:style w:type="paragraph" w:customStyle="1" w:styleId="Standard">
    <w:name w:val="Standard"/>
    <w:qFormat/>
    <w:pPr>
      <w:suppressAutoHyphens/>
    </w:pPr>
    <w:rPr>
      <w:rFonts w:eastAsia="Times New Roman" w:cs="Times New Roman"/>
      <w:lang w:eastAsia="zh-CN" w:bidi="ar-SA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extbody">
    <w:name w:val="Text body"/>
    <w:basedOn w:val="Standard"/>
    <w:qFormat/>
    <w:pPr>
      <w:spacing w:after="120" w:line="288" w:lineRule="auto"/>
    </w:pPr>
  </w:style>
  <w:style w:type="paragraph" w:styleId="Textonotapie">
    <w:name w:val="footnote text"/>
    <w:basedOn w:val="Normal"/>
  </w:style>
  <w:style w:type="paragraph" w:customStyle="1" w:styleId="d2">
    <w:name w:val="d2"/>
    <w:basedOn w:val="Normal"/>
    <w:qFormat/>
    <w:pPr>
      <w:spacing w:before="280" w:after="280"/>
    </w:pPr>
  </w:style>
  <w:style w:type="paragraph" w:styleId="Textoindependiente2">
    <w:name w:val="Body Text 2"/>
    <w:basedOn w:val="Normal"/>
    <w:qFormat/>
    <w:pPr>
      <w:spacing w:after="120" w:line="480" w:lineRule="auto"/>
    </w:pPr>
  </w:style>
  <w:style w:type="paragraph" w:customStyle="1" w:styleId="d3">
    <w:name w:val="d3"/>
    <w:basedOn w:val="Normal"/>
    <w:qFormat/>
    <w:pPr>
      <w:spacing w:before="280" w:after="280"/>
    </w:pPr>
  </w:style>
  <w:style w:type="paragraph" w:styleId="Sangradetextonormal">
    <w:name w:val="Body Text Indent"/>
    <w:basedOn w:val="Normal"/>
    <w:pPr>
      <w:ind w:left="1418"/>
      <w:jc w:val="both"/>
    </w:pPr>
    <w:rPr>
      <w:rFonts w:ascii="Verdana" w:eastAsia="Verdana" w:hAnsi="Verdana" w:cs="Verdana"/>
      <w:i/>
      <w:color w:val="000000"/>
    </w:rPr>
  </w:style>
  <w:style w:type="paragraph" w:styleId="Sangra3detindependiente">
    <w:name w:val="Body Text Indent 3"/>
    <w:basedOn w:val="Normal"/>
    <w:qFormat/>
    <w:pPr>
      <w:ind w:left="1134"/>
      <w:jc w:val="both"/>
    </w:pPr>
    <w:rPr>
      <w:rFonts w:ascii="Arial" w:eastAsia="Arial" w:hAnsi="Arial" w:cs="Arial"/>
      <w:color w:val="000000"/>
      <w:sz w:val="26"/>
    </w:rPr>
  </w:style>
  <w:style w:type="paragraph" w:styleId="Sangra2detindependiente">
    <w:name w:val="Body Text Indent 2"/>
    <w:basedOn w:val="Normal"/>
    <w:qFormat/>
    <w:pPr>
      <w:ind w:firstLine="705"/>
      <w:jc w:val="both"/>
    </w:pPr>
    <w:rPr>
      <w:i/>
      <w:sz w:val="26"/>
    </w:rPr>
  </w:style>
  <w:style w:type="paragraph" w:styleId="Textosinformato">
    <w:name w:val="Plain Text"/>
    <w:basedOn w:val="Normal"/>
    <w:qFormat/>
    <w:rPr>
      <w:rFonts w:ascii="Courier New" w:eastAsia="Courier New" w:hAnsi="Courier New" w:cs="Courier New"/>
      <w:sz w:val="20"/>
      <w:szCs w:val="20"/>
    </w:rPr>
  </w:style>
  <w:style w:type="paragraph" w:customStyle="1" w:styleId="Textosinformato1">
    <w:name w:val="Texto sin formato1"/>
    <w:basedOn w:val="Normal"/>
    <w:qFormat/>
    <w:rPr>
      <w:rFonts w:ascii="Courier New" w:eastAsia="Courier New" w:hAnsi="Courier New" w:cs="Courier New"/>
      <w:lang w:eastAsia="zh-CN"/>
    </w:rPr>
  </w:style>
  <w:style w:type="paragraph" w:customStyle="1" w:styleId="NormalNumeros">
    <w:name w:val="Normal + Numeros"/>
    <w:basedOn w:val="Textosinformato1"/>
    <w:qFormat/>
    <w:pPr>
      <w:ind w:left="142" w:firstLine="567"/>
      <w:jc w:val="both"/>
    </w:pPr>
    <w:rPr>
      <w:rFonts w:ascii="Garamond" w:eastAsia="Garamond" w:hAnsi="Garamond" w:cs="Garamond"/>
      <w:color w:val="000000"/>
      <w:sz w:val="22"/>
      <w:szCs w:val="22"/>
    </w:rPr>
  </w:style>
  <w:style w:type="paragraph" w:customStyle="1" w:styleId="Textoindependiente21">
    <w:name w:val="Texto independiente 21"/>
    <w:basedOn w:val="Normal"/>
    <w:qFormat/>
    <w:pPr>
      <w:jc w:val="both"/>
    </w:pPr>
    <w:rPr>
      <w:rFonts w:ascii="Arial" w:eastAsia="Arial" w:hAnsi="Arial" w:cs="Arial"/>
      <w:b/>
      <w:lang w:eastAsia="zh-CN"/>
    </w:rPr>
  </w:style>
  <w:style w:type="paragraph" w:styleId="Textoindependienteprimerasangra2">
    <w:name w:val="Body Text First Indent 2"/>
    <w:basedOn w:val="Sangradetextonormal"/>
    <w:qFormat/>
    <w:pPr>
      <w:ind w:left="360" w:firstLine="360"/>
    </w:pPr>
  </w:style>
  <w:style w:type="paragraph" w:customStyle="1" w:styleId="Nivel2indice">
    <w:name w:val="Nivel 2 indice"/>
    <w:basedOn w:val="Normal"/>
    <w:qFormat/>
    <w:pPr>
      <w:spacing w:before="85" w:after="57"/>
      <w:ind w:firstLine="709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DocumentMap">
    <w:name w:val="DocumentMap"/>
    <w:qFormat/>
    <w:pPr>
      <w:spacing w:after="160" w:line="256" w:lineRule="auto"/>
      <w:textAlignment w:val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Default">
    <w:name w:val="Default"/>
    <w:qFormat/>
    <w:pPr>
      <w:widowControl w:val="0"/>
    </w:pPr>
    <w:rPr>
      <w:rFonts w:ascii="Arial" w:hAnsi="Arial"/>
      <w:color w:val="000000"/>
    </w:rPr>
  </w:style>
  <w:style w:type="paragraph" w:customStyle="1" w:styleId="Textpreformatat">
    <w:name w:val="Text preformatat"/>
    <w:basedOn w:val="Normal"/>
    <w:qFormat/>
    <w:rPr>
      <w:rFonts w:ascii="Liberation Mono" w:eastAsia="NSimSun" w:hAnsi="Liberation Mono" w:cs="Liberation Mono"/>
      <w:sz w:val="20"/>
      <w:szCs w:val="20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  <w:contextualSpacing/>
      <w:textAlignment w:val="auto"/>
    </w:pPr>
    <w:rPr>
      <w:rFonts w:ascii="Calibri" w:eastAsia="SimSun" w:hAnsi="Calibri" w:cs="Calibri"/>
      <w:color w:val="00000A"/>
      <w:sz w:val="22"/>
      <w:szCs w:val="22"/>
      <w:lang w:val="ca-ES" w:bidi="ar-SA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C1C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C5D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06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B4061A"/>
    <w:rPr>
      <w:rFonts w:ascii="Veranda" w:eastAsia="Segoe UI" w:hAnsi="Veranda" w:cs="Arial"/>
      <w:bCs/>
      <w:color w:val="000000"/>
      <w:sz w:val="20"/>
      <w:szCs w:val="20"/>
    </w:rPr>
  </w:style>
  <w:style w:type="paragraph" w:customStyle="1" w:styleId="msonormal0">
    <w:name w:val="msonormal"/>
    <w:basedOn w:val="Normal"/>
    <w:rsid w:val="00B4061A"/>
    <w:pP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  <w:style w:type="paragraph" w:customStyle="1" w:styleId="parrafo">
    <w:name w:val="parrafo"/>
    <w:basedOn w:val="Normal"/>
    <w:rsid w:val="00B4061A"/>
    <w:pP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  <w:style w:type="paragraph" w:customStyle="1" w:styleId="cabezatabla">
    <w:name w:val="cabeza_tabla"/>
    <w:basedOn w:val="Normal"/>
    <w:rsid w:val="00B4061A"/>
    <w:pP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  <w:style w:type="paragraph" w:customStyle="1" w:styleId="cuerpotablacentro">
    <w:name w:val="cuerpo_tabla_centro"/>
    <w:basedOn w:val="Normal"/>
    <w:rsid w:val="00B4061A"/>
    <w:pP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  <w:style w:type="paragraph" w:customStyle="1" w:styleId="cuerpotablaizq">
    <w:name w:val="cuerpo_tabla_izq"/>
    <w:basedOn w:val="Normal"/>
    <w:rsid w:val="00B4061A"/>
    <w:pP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  <w:style w:type="paragraph" w:customStyle="1" w:styleId="cuerpotablader">
    <w:name w:val="cuerpo_tabla_der"/>
    <w:basedOn w:val="Normal"/>
    <w:rsid w:val="00B4061A"/>
    <w:pP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1008</Words>
  <Characters>5545</Characters>
  <Application>Microsoft Office Word</Application>
  <DocSecurity>4</DocSecurity>
  <Lines>46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Valenciana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FORÉS MARZÁ, JOAQUÍN</dc:creator>
  <dc:description/>
  <cp:lastModifiedBy>RIOJA RIOJA, Mª TERESA</cp:lastModifiedBy>
  <cp:revision>2</cp:revision>
  <cp:lastPrinted>2021-10-28T12:19:00Z</cp:lastPrinted>
  <dcterms:created xsi:type="dcterms:W3CDTF">2021-10-29T09:44:00Z</dcterms:created>
  <dcterms:modified xsi:type="dcterms:W3CDTF">2021-10-29T09:44:00Z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