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A035F" w14:textId="4923372D" w:rsidR="00ED0388" w:rsidRPr="00FB75DC" w:rsidRDefault="00667113" w:rsidP="006A1C45">
      <w:pPr>
        <w:ind w:left="1416" w:hanging="1416"/>
        <w:contextualSpacing/>
        <w:jc w:val="both"/>
        <w:rPr>
          <w:rFonts w:ascii="Verdana" w:hAnsi="Verdana" w:cs="Calibri"/>
          <w:sz w:val="20"/>
          <w:szCs w:val="20"/>
          <w:lang w:val="ca-ES-valencia"/>
        </w:rPr>
      </w:pPr>
      <w:r w:rsidRPr="00FB75DC">
        <w:rPr>
          <w:rFonts w:ascii="Verdana" w:hAnsi="Verdana" w:cs="Calibri"/>
          <w:noProof/>
          <w:sz w:val="20"/>
          <w:szCs w:val="20"/>
          <w:lang w:val="ca-ES-valencia"/>
        </w:rPr>
        <w:drawing>
          <wp:anchor distT="0" distB="0" distL="0" distR="0" simplePos="0" relativeHeight="251658240" behindDoc="0" locked="0" layoutInCell="1" allowOverlap="1" wp14:anchorId="70FB472B" wp14:editId="7053F429">
            <wp:simplePos x="0" y="0"/>
            <wp:positionH relativeFrom="column">
              <wp:posOffset>-72390</wp:posOffset>
            </wp:positionH>
            <wp:positionV relativeFrom="paragraph">
              <wp:posOffset>13970</wp:posOffset>
            </wp:positionV>
            <wp:extent cx="1887220" cy="951230"/>
            <wp:effectExtent l="0" t="0" r="0" b="1270"/>
            <wp:wrapSquare wrapText="largest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56" r="-2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951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000C9" w14:textId="2B9D35BC" w:rsidR="00ED0388" w:rsidRPr="00FB75DC" w:rsidRDefault="00ED0388">
      <w:pPr>
        <w:contextualSpacing/>
        <w:jc w:val="both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</w:p>
    <w:p w14:paraId="78DACB60" w14:textId="77777777" w:rsidR="00ED0388" w:rsidRPr="00FB75DC" w:rsidRDefault="00ED0388">
      <w:pPr>
        <w:contextualSpacing/>
        <w:jc w:val="both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</w:p>
    <w:p w14:paraId="7ED15596" w14:textId="77777777" w:rsidR="00667113" w:rsidRPr="00FB75DC" w:rsidRDefault="00667113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</w:p>
    <w:p w14:paraId="425DC358" w14:textId="77777777" w:rsidR="00667113" w:rsidRPr="00FB75DC" w:rsidRDefault="00667113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</w:p>
    <w:p w14:paraId="1FB4F798" w14:textId="77777777" w:rsidR="00667113" w:rsidRPr="00FB75DC" w:rsidRDefault="00667113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</w:p>
    <w:p w14:paraId="048C1459" w14:textId="77777777" w:rsidR="00667113" w:rsidRPr="00FB75DC" w:rsidRDefault="00667113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</w:p>
    <w:p w14:paraId="7CB91017" w14:textId="7C8B3C0F" w:rsidR="00ED0388" w:rsidRPr="00FB75DC" w:rsidRDefault="009D2269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  <w:r w:rsidRPr="00FB75DC">
        <w:rPr>
          <w:rFonts w:ascii="Verdana" w:hAnsi="Verdana" w:cs="Calibri"/>
          <w:b/>
          <w:i/>
          <w:iCs/>
          <w:sz w:val="20"/>
          <w:szCs w:val="20"/>
          <w:lang w:val="ca-ES-valencia"/>
        </w:rPr>
        <w:t>AVANTPROJECTE DE LLEI DE MESURES FISCALS, DE GESTIÓ ADMINISTRATIVA I FINANCERA, I D'ORGANITZACIÓ DE LA GENERALITAT</w:t>
      </w:r>
      <w:r w:rsidR="007D0596" w:rsidRPr="00FB75DC">
        <w:rPr>
          <w:rFonts w:ascii="Verdana" w:hAnsi="Verdana" w:cs="Calibri"/>
          <w:b/>
          <w:i/>
          <w:iCs/>
          <w:sz w:val="20"/>
          <w:szCs w:val="20"/>
          <w:lang w:val="ca-ES-valencia"/>
        </w:rPr>
        <w:t xml:space="preserve"> 2022</w:t>
      </w:r>
    </w:p>
    <w:p w14:paraId="62AB4A0C" w14:textId="77777777" w:rsidR="00ED0388" w:rsidRPr="00FB75DC" w:rsidRDefault="00ED0388">
      <w:pPr>
        <w:contextualSpacing/>
        <w:jc w:val="center"/>
        <w:rPr>
          <w:rFonts w:ascii="Verdana" w:hAnsi="Verdana" w:cs="Calibri"/>
          <w:b/>
          <w:i/>
          <w:iCs/>
          <w:sz w:val="20"/>
          <w:szCs w:val="20"/>
          <w:lang w:val="ca-ES-valencia"/>
        </w:rPr>
      </w:pPr>
    </w:p>
    <w:p w14:paraId="6044ACC3" w14:textId="77777777" w:rsidR="00ED0388" w:rsidRPr="00FB75DC" w:rsidRDefault="00ED0388">
      <w:pPr>
        <w:pStyle w:val="Textoindependiente"/>
        <w:spacing w:after="0"/>
        <w:contextualSpacing/>
        <w:jc w:val="center"/>
        <w:rPr>
          <w:rFonts w:ascii="Verdana" w:hAnsi="Verdana"/>
          <w:b/>
          <w:i/>
          <w:iCs/>
          <w:sz w:val="20"/>
          <w:szCs w:val="20"/>
          <w:lang w:val="ca-ES-valencia"/>
        </w:rPr>
      </w:pPr>
    </w:p>
    <w:p w14:paraId="1A8E323F" w14:textId="77777777" w:rsidR="000747CD" w:rsidRPr="00FB75DC" w:rsidRDefault="000747CD" w:rsidP="000747CD">
      <w:pPr>
        <w:pStyle w:val="Textoindependiente"/>
        <w:contextualSpacing/>
        <w:jc w:val="both"/>
        <w:rPr>
          <w:rFonts w:ascii="Verdana" w:hAnsi="Verdana"/>
          <w:bCs/>
          <w:sz w:val="20"/>
          <w:szCs w:val="20"/>
          <w:lang w:val="ca-ES-valencia"/>
        </w:rPr>
      </w:pPr>
    </w:p>
    <w:p w14:paraId="5C2A5F85" w14:textId="77777777" w:rsidR="000747CD" w:rsidRPr="00FB75DC" w:rsidRDefault="000747CD" w:rsidP="000747CD">
      <w:pPr>
        <w:pStyle w:val="Textoindependiente"/>
        <w:contextualSpacing/>
        <w:jc w:val="both"/>
        <w:rPr>
          <w:rFonts w:ascii="Verdana" w:hAnsi="Verdana"/>
          <w:bCs/>
          <w:sz w:val="20"/>
          <w:szCs w:val="20"/>
          <w:lang w:val="ca-ES-valencia"/>
        </w:rPr>
      </w:pPr>
      <w:r w:rsidRPr="00FB75DC">
        <w:rPr>
          <w:rFonts w:ascii="Verdana" w:hAnsi="Verdana"/>
          <w:bCs/>
          <w:sz w:val="20"/>
          <w:szCs w:val="20"/>
          <w:lang w:val="ca-ES-valencia"/>
        </w:rPr>
        <w:t>CAPÍTOL VI. MODIFICACIONS LEGISLATIVES EN MATÈRIES COMPETÈNCIA DE LA CONSELLERIA D'EDUCACIÓ, CULTURA I ESPORT</w:t>
      </w:r>
    </w:p>
    <w:p w14:paraId="5C4675DB" w14:textId="7DE72611" w:rsidR="000747CD" w:rsidRPr="00FB75DC" w:rsidRDefault="00B8374F" w:rsidP="000747CD">
      <w:pPr>
        <w:pStyle w:val="Textoindependiente"/>
        <w:contextualSpacing/>
        <w:jc w:val="both"/>
        <w:rPr>
          <w:rFonts w:ascii="Verdana" w:hAnsi="Verdana"/>
          <w:bCs/>
          <w:sz w:val="20"/>
          <w:szCs w:val="20"/>
          <w:lang w:val="ca-ES-valencia"/>
        </w:rPr>
      </w:pPr>
      <w:r w:rsidRPr="00FB75DC">
        <w:rPr>
          <w:rFonts w:ascii="Verdana" w:hAnsi="Verdana"/>
          <w:bCs/>
          <w:sz w:val="20"/>
          <w:szCs w:val="20"/>
          <w:lang w:val="ca-ES-valencia"/>
        </w:rPr>
        <w:t>Secció 2a. Integració dels Conservatoris de Música i Dansa de les Administracions Locals en la Xarxa Valenciana de titularitat de la Generalitat.</w:t>
      </w:r>
    </w:p>
    <w:p w14:paraId="73F9E2D6" w14:textId="77777777" w:rsidR="007D0596" w:rsidRPr="00FB75DC" w:rsidRDefault="007D0596">
      <w:pPr>
        <w:pStyle w:val="Textoindependiente"/>
        <w:spacing w:after="0"/>
        <w:contextualSpacing/>
        <w:jc w:val="center"/>
        <w:rPr>
          <w:rFonts w:ascii="Verdana" w:hAnsi="Verdana"/>
          <w:b/>
          <w:i/>
          <w:iCs/>
          <w:sz w:val="20"/>
          <w:szCs w:val="20"/>
          <w:lang w:val="ca-ES-valencia"/>
        </w:rPr>
      </w:pPr>
    </w:p>
    <w:p w14:paraId="0A3EA962" w14:textId="33279C52" w:rsidR="00EA098E" w:rsidRPr="00FB75DC" w:rsidRDefault="00BD3BD6" w:rsidP="00BD3BD6">
      <w:pPr>
        <w:contextualSpacing/>
        <w:rPr>
          <w:rFonts w:ascii="Verdana" w:hAnsi="Verdana" w:cs="Arial"/>
          <w:sz w:val="20"/>
          <w:szCs w:val="20"/>
          <w:lang w:val="ca-ES-valencia"/>
        </w:rPr>
      </w:pPr>
      <w:bookmarkStart w:id="0" w:name="_Hlk77329412"/>
      <w:r w:rsidRPr="00FB75DC">
        <w:rPr>
          <w:rFonts w:ascii="Verdana" w:hAnsi="Verdana"/>
          <w:b/>
          <w:i/>
          <w:iCs/>
          <w:sz w:val="20"/>
          <w:szCs w:val="20"/>
          <w:lang w:val="ca-ES-valencia"/>
        </w:rPr>
        <w:t>-------------------------</w:t>
      </w:r>
    </w:p>
    <w:p w14:paraId="5C0B230E" w14:textId="23475594" w:rsidR="00B8374F" w:rsidRPr="00FB75DC" w:rsidRDefault="00B8374F" w:rsidP="00B8374F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  <w:bookmarkStart w:id="1" w:name="_Hlk82712431"/>
      <w:bookmarkStart w:id="2" w:name="_Hlk86316677"/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 xml:space="preserve">Secció </w:t>
      </w:r>
      <w:r w:rsidR="00012C2B" w:rsidRPr="00FB75DC">
        <w:rPr>
          <w:rFonts w:ascii="Verdana" w:hAnsi="Verdana" w:cs="Arial"/>
          <w:b/>
          <w:bCs/>
          <w:sz w:val="20"/>
          <w:szCs w:val="20"/>
          <w:lang w:val="ca-ES-valencia"/>
        </w:rPr>
        <w:t>2a</w:t>
      </w:r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 xml:space="preserve">. Integració dels </w:t>
      </w:r>
      <w:bookmarkStart w:id="3" w:name="_Hlk82712298"/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 xml:space="preserve">Conservatoris de Música i Dansa de les Administracions Locals en la Xarxa Valenciana de titularitat de la Generalitat. </w:t>
      </w:r>
    </w:p>
    <w:bookmarkEnd w:id="1"/>
    <w:bookmarkEnd w:id="3"/>
    <w:p w14:paraId="0B514840" w14:textId="77777777" w:rsidR="00012C2B" w:rsidRPr="00FB75DC" w:rsidRDefault="00012C2B" w:rsidP="00B8374F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</w:p>
    <w:p w14:paraId="7EDF92F9" w14:textId="789B48D5" w:rsidR="00B8374F" w:rsidRPr="00FB75DC" w:rsidRDefault="00012C2B" w:rsidP="00B8374F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>Article</w:t>
      </w:r>
      <w:r w:rsidR="00B8374F" w:rsidRPr="00FB75DC">
        <w:rPr>
          <w:rFonts w:ascii="Verdana" w:hAnsi="Verdana" w:cs="Arial"/>
          <w:b/>
          <w:bCs/>
          <w:sz w:val="20"/>
          <w:szCs w:val="20"/>
          <w:lang w:val="ca-ES-valencia"/>
        </w:rPr>
        <w:t xml:space="preserve"> </w:t>
      </w:r>
      <w:r w:rsidR="000647F7" w:rsidRPr="00FB75DC">
        <w:rPr>
          <w:rFonts w:ascii="Verdana" w:hAnsi="Verdana" w:cs="Arial"/>
          <w:b/>
          <w:bCs/>
          <w:sz w:val="20"/>
          <w:szCs w:val="20"/>
          <w:lang w:val="ca-ES-valencia"/>
        </w:rPr>
        <w:t>80</w:t>
      </w:r>
      <w:r w:rsidR="00B8374F" w:rsidRPr="00FB75DC">
        <w:rPr>
          <w:rFonts w:ascii="Verdana" w:hAnsi="Verdana" w:cs="Arial"/>
          <w:b/>
          <w:bCs/>
          <w:sz w:val="20"/>
          <w:szCs w:val="20"/>
          <w:lang w:val="ca-ES-valencia"/>
        </w:rPr>
        <w:t xml:space="preserve">. </w:t>
      </w:r>
      <w:bookmarkStart w:id="4" w:name="_Hlk84416076"/>
      <w:r w:rsidR="00B8374F" w:rsidRPr="00FB75DC">
        <w:rPr>
          <w:rFonts w:ascii="Verdana" w:hAnsi="Verdana" w:cs="Arial"/>
          <w:b/>
          <w:bCs/>
          <w:sz w:val="20"/>
          <w:szCs w:val="20"/>
          <w:lang w:val="ca-ES-valencia"/>
        </w:rPr>
        <w:t xml:space="preserve">Règim Jurídic d'Integració dels Conservatoris de Música i Dansa de les Administracions Locals en la Xarxa Valenciana de titularitat de la Generalitat. </w:t>
      </w:r>
    </w:p>
    <w:bookmarkEnd w:id="4"/>
    <w:p w14:paraId="0721674F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777833F7" w14:textId="03BF969A" w:rsidR="00BD22A3" w:rsidRPr="00FB75DC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>1. Objecte.</w:t>
      </w:r>
    </w:p>
    <w:p w14:paraId="596E7FC4" w14:textId="04BF72F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S'estableix el procediment d'integració de conservatoris</w:t>
      </w:r>
      <w:r w:rsidR="006A1C45" w:rsidRPr="00FB75DC">
        <w:rPr>
          <w:rFonts w:ascii="Verdana" w:hAnsi="Verdana" w:cs="Arial"/>
          <w:sz w:val="20"/>
          <w:szCs w:val="20"/>
          <w:lang w:val="ca-ES-valencia"/>
        </w:rPr>
        <w:t xml:space="preserve"> professionals 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 de música i dansa titularitat d'administracions locals en la Xarxa Valenciana de conservatoris de música i dansa de titularitat de la Generalitat, en l'àmbit de l'ensenyament de règim especial.</w:t>
      </w:r>
    </w:p>
    <w:p w14:paraId="7F2877E9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4E8D338F" w14:textId="19D868E0" w:rsidR="00BD22A3" w:rsidRPr="00FB75DC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>2. Àmbit d'aplicació</w:t>
      </w:r>
    </w:p>
    <w:p w14:paraId="1E3C20B6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19FFCFFD" w14:textId="340890DF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 xml:space="preserve">El procediment d'integració s'aplica als centres que tenen la consideració de conservatoris </w:t>
      </w:r>
      <w:r w:rsidR="00C86847" w:rsidRPr="00FB75DC">
        <w:rPr>
          <w:rFonts w:ascii="Verdana" w:hAnsi="Verdana" w:cs="Arial"/>
          <w:sz w:val="20"/>
          <w:szCs w:val="20"/>
          <w:lang w:val="ca-ES-valencia"/>
        </w:rPr>
        <w:t xml:space="preserve">professionals </w:t>
      </w:r>
      <w:r w:rsidRPr="00FB75DC">
        <w:rPr>
          <w:rFonts w:ascii="Verdana" w:hAnsi="Verdana" w:cs="Arial"/>
          <w:sz w:val="20"/>
          <w:szCs w:val="20"/>
          <w:lang w:val="ca-ES-valencia"/>
        </w:rPr>
        <w:t>de música i dansa, d'acord amb el règim vigent de creació o autorització de centres, que imparteixen ensenyaments inclosos en la Llei orgànica 2/2006, de 3 de maig, d'educació, modificada parcialment per la Llei orgànica 3/2020, de 29 de desembre, i que estan inscrits com a tals en el Registre de Centres Docents de la Comunitat Valenciana que gestiona la conselleria competent en matèria d'educació.</w:t>
      </w:r>
    </w:p>
    <w:p w14:paraId="05DAEAFD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3A75A9BA" w14:textId="1110D198" w:rsidR="00BD22A3" w:rsidRPr="00FB75DC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>3. Requisits per a la integració de centres docents.</w:t>
      </w:r>
    </w:p>
    <w:p w14:paraId="4D457375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4EFD18CA" w14:textId="2AD1F3E2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1r. Els conservatoris</w:t>
      </w:r>
      <w:r w:rsidR="00C86847" w:rsidRPr="00FB75DC">
        <w:rPr>
          <w:rFonts w:ascii="Verdana" w:hAnsi="Verdana" w:cs="Arial"/>
          <w:sz w:val="20"/>
          <w:szCs w:val="20"/>
          <w:lang w:val="ca-ES-valencia"/>
        </w:rPr>
        <w:t xml:space="preserve"> professionals 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de música i dansa </w:t>
      </w:r>
      <w:r w:rsidR="00C86847" w:rsidRPr="00FB75DC">
        <w:rPr>
          <w:rFonts w:ascii="Verdana" w:hAnsi="Verdana" w:cs="Arial"/>
          <w:sz w:val="20"/>
          <w:szCs w:val="20"/>
          <w:lang w:val="ca-ES-valencia"/>
        </w:rPr>
        <w:t xml:space="preserve">de titularitat municipal </w:t>
      </w:r>
      <w:r w:rsidRPr="00FB75DC">
        <w:rPr>
          <w:rFonts w:ascii="Verdana" w:hAnsi="Verdana" w:cs="Arial"/>
          <w:sz w:val="20"/>
          <w:szCs w:val="20"/>
          <w:lang w:val="ca-ES-valencia"/>
        </w:rPr>
        <w:t>es poden integrar en la xarxa de titularitat de la Generalitat quan concórreguen els següents requisits:</w:t>
      </w:r>
    </w:p>
    <w:p w14:paraId="5EACDD84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a) Sol·licitud del titular del centre. La sol·licitud es realitzarà per acord del Plenari corresponent.</w:t>
      </w:r>
    </w:p>
    <w:p w14:paraId="28BAEC84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 xml:space="preserve"> En tot cas, la sol·licitud haurà d'acompanyar-se de la següent documentació:</w:t>
      </w:r>
    </w:p>
    <w:p w14:paraId="26105C72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- Acord de cessió gratuïta a la Generalitat, per part de l'òrgan competent de l'entitat local, del sòl i l'immoble on se situe el centre docent i el seu equipament, lliures de gravàmens i càrregues.</w:t>
      </w:r>
    </w:p>
    <w:p w14:paraId="5CB748BF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- Acord de cessió gratuïta a la Generalitat, per part de l'òrgan competent de l'entitat local, dels béns mobles i equips destinats a l'activitat docent i no docent, lliures de gravàmens i càrregues.</w:t>
      </w:r>
    </w:p>
    <w:p w14:paraId="7E6E9E3A" w14:textId="1E951242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- Informe del departament de personal de l'administració local sobre la situació administrativa i laboral del personal adscrit al centre object</w:t>
      </w:r>
      <w:r w:rsidR="00667113" w:rsidRPr="00FB75DC">
        <w:rPr>
          <w:rFonts w:ascii="Verdana" w:hAnsi="Verdana" w:cs="Arial"/>
          <w:sz w:val="20"/>
          <w:szCs w:val="20"/>
          <w:lang w:val="ca-ES-valencia"/>
        </w:rPr>
        <w:t>e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 d'integració.</w:t>
      </w:r>
    </w:p>
    <w:p w14:paraId="40256150" w14:textId="77777777" w:rsidR="00645716" w:rsidRPr="00FB75DC" w:rsidRDefault="00B06646" w:rsidP="00B06646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 xml:space="preserve">- </w:t>
      </w:r>
      <w:r w:rsidR="006A7B8C" w:rsidRPr="00FB75DC">
        <w:rPr>
          <w:rFonts w:ascii="Verdana" w:hAnsi="Verdana" w:cs="Arial"/>
          <w:sz w:val="20"/>
          <w:szCs w:val="20"/>
          <w:lang w:val="ca-ES-valencia"/>
        </w:rPr>
        <w:t>Informe de v</w:t>
      </w:r>
      <w:r w:rsidRPr="00FB75DC">
        <w:rPr>
          <w:rFonts w:ascii="Verdana" w:hAnsi="Verdana" w:cs="Arial"/>
          <w:sz w:val="20"/>
          <w:szCs w:val="20"/>
          <w:lang w:val="ca-ES-valencia"/>
        </w:rPr>
        <w:t>aloració</w:t>
      </w:r>
      <w:r w:rsidR="006A7B8C" w:rsidRPr="00FB75DC">
        <w:rPr>
          <w:rFonts w:ascii="Verdana" w:hAnsi="Verdana" w:cs="Arial"/>
          <w:sz w:val="20"/>
          <w:szCs w:val="20"/>
          <w:lang w:val="ca-ES-valencia"/>
        </w:rPr>
        <w:t xml:space="preserve"> </w:t>
      </w:r>
      <w:r w:rsidRPr="00FB75DC">
        <w:rPr>
          <w:rFonts w:ascii="Verdana" w:hAnsi="Verdana" w:cs="Arial"/>
          <w:sz w:val="20"/>
          <w:szCs w:val="20"/>
          <w:lang w:val="ca-ES-valencia"/>
        </w:rPr>
        <w:t>del sòl i de l'immoble, segons el que s'estableix en l'article 118 del Reial decret 1372/1986, de 13 de juny, pel qual s'aprova el Reglament de Béns de les Entitats Locals.</w:t>
      </w:r>
    </w:p>
    <w:p w14:paraId="64F36424" w14:textId="1B1C9407" w:rsidR="00B06646" w:rsidRPr="00FB75DC" w:rsidRDefault="00645716" w:rsidP="00B06646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 xml:space="preserve">- </w:t>
      </w:r>
      <w:r w:rsidR="00B06646" w:rsidRPr="00FB75DC">
        <w:rPr>
          <w:rFonts w:ascii="Verdana" w:hAnsi="Verdana" w:cs="Arial"/>
          <w:sz w:val="20"/>
          <w:szCs w:val="20"/>
          <w:lang w:val="ca-ES-valencia"/>
        </w:rPr>
        <w:t xml:space="preserve">A la documentació reflectida en 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els punts anteriors </w:t>
      </w:r>
      <w:r w:rsidR="00B06646" w:rsidRPr="00FB75DC">
        <w:rPr>
          <w:rFonts w:ascii="Verdana" w:hAnsi="Verdana" w:cs="Arial"/>
          <w:sz w:val="20"/>
          <w:szCs w:val="20"/>
          <w:lang w:val="ca-ES-valencia"/>
        </w:rPr>
        <w:t xml:space="preserve">se li acompanyarà aquella altra, conseqüència de l'aplicació d'altres tràmits aplicables conforme a la normativa estatal </w:t>
      </w:r>
      <w:r w:rsidR="00E825F5" w:rsidRPr="00FB75DC">
        <w:rPr>
          <w:rFonts w:ascii="Verdana" w:hAnsi="Verdana" w:cs="Arial"/>
          <w:sz w:val="20"/>
          <w:szCs w:val="20"/>
          <w:lang w:val="ca-ES-valencia"/>
        </w:rPr>
        <w:t>b</w:t>
      </w:r>
      <w:r w:rsidR="00FB75DC">
        <w:rPr>
          <w:rFonts w:ascii="Verdana" w:hAnsi="Verdana" w:cs="Arial"/>
          <w:sz w:val="20"/>
          <w:szCs w:val="20"/>
          <w:lang w:val="ca-ES-valencia"/>
        </w:rPr>
        <w:t>à</w:t>
      </w:r>
      <w:r w:rsidR="00E825F5" w:rsidRPr="00FB75DC">
        <w:rPr>
          <w:rFonts w:ascii="Verdana" w:hAnsi="Verdana" w:cs="Arial"/>
          <w:sz w:val="20"/>
          <w:szCs w:val="20"/>
          <w:lang w:val="ca-ES-valencia"/>
        </w:rPr>
        <w:t>sica i auton</w:t>
      </w:r>
      <w:r w:rsidR="00FB75DC">
        <w:rPr>
          <w:rFonts w:ascii="Verdana" w:hAnsi="Verdana" w:cs="Arial"/>
          <w:sz w:val="20"/>
          <w:szCs w:val="20"/>
          <w:lang w:val="ca-ES-valencia"/>
        </w:rPr>
        <w:t>ò</w:t>
      </w:r>
      <w:r w:rsidR="00E825F5" w:rsidRPr="00FB75DC">
        <w:rPr>
          <w:rFonts w:ascii="Verdana" w:hAnsi="Verdana" w:cs="Arial"/>
          <w:sz w:val="20"/>
          <w:szCs w:val="20"/>
          <w:lang w:val="ca-ES-valencia"/>
        </w:rPr>
        <w:t>mica, en el que es refereix a aquest</w:t>
      </w:r>
      <w:r w:rsidR="007836E7" w:rsidRPr="00FB75DC">
        <w:rPr>
          <w:rFonts w:ascii="Verdana" w:hAnsi="Verdana" w:cs="Arial"/>
          <w:sz w:val="20"/>
          <w:szCs w:val="20"/>
          <w:lang w:val="ca-ES-valencia"/>
        </w:rPr>
        <w:t>s</w:t>
      </w:r>
      <w:r w:rsidR="00E825F5" w:rsidRPr="00FB75DC">
        <w:rPr>
          <w:rFonts w:ascii="Verdana" w:hAnsi="Verdana" w:cs="Arial"/>
          <w:sz w:val="20"/>
          <w:szCs w:val="20"/>
          <w:lang w:val="ca-ES-valencia"/>
        </w:rPr>
        <w:t xml:space="preserve"> ensenyaments, així com</w:t>
      </w:r>
      <w:r w:rsidR="00B06646" w:rsidRPr="00FB75DC">
        <w:rPr>
          <w:rFonts w:ascii="Verdana" w:hAnsi="Verdana" w:cs="Arial"/>
          <w:sz w:val="20"/>
          <w:szCs w:val="20"/>
          <w:lang w:val="ca-ES-valencia"/>
        </w:rPr>
        <w:t xml:space="preserve"> la legislació patrimonial de la Generalitat, regulada en la Llei 14/2003,10 d'abril de patrimoni de la Generalitat.</w:t>
      </w:r>
    </w:p>
    <w:p w14:paraId="6AFBC8AF" w14:textId="6855AF9D" w:rsidR="00B06646" w:rsidRPr="00FB75DC" w:rsidRDefault="00B06646" w:rsidP="00B06646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26C615B4" w14:textId="77777777" w:rsidR="00B06646" w:rsidRPr="00FB75DC" w:rsidRDefault="00B06646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74B904EA" w14:textId="7C6B350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2n. L'expedient de creació de centres educatius per integració en la xarxa de titularitat de la Generalitat ha de contindre:</w:t>
      </w:r>
    </w:p>
    <w:p w14:paraId="78FE69EF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lastRenderedPageBreak/>
        <w:t>a) Informe motivant les necessitats d'escolarització que ha de satisfer la conselleria competent en matèria d'educació per a garantir el dret a l'educació, de conformitat amb la programació de la Xarxa Valenciana de Conservatoris de Música i Dansa de la Conselleria competent en matèria d'Educació.</w:t>
      </w:r>
    </w:p>
    <w:p w14:paraId="5332E970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b) Informe econòmic relatiu al cost del personal docent i del personal d'administració i serveis, així com altres costos derivats del funcionament del centre, segons el nombre d'unitats i d'ensenyaments que impartisquen.</w:t>
      </w:r>
    </w:p>
    <w:p w14:paraId="63325204" w14:textId="37B6624D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 xml:space="preserve">c) </w:t>
      </w:r>
      <w:r w:rsidR="00C7754A" w:rsidRPr="00FB75DC">
        <w:rPr>
          <w:rFonts w:ascii="Verdana" w:hAnsi="Verdana" w:cs="Arial"/>
          <w:sz w:val="20"/>
          <w:szCs w:val="20"/>
          <w:lang w:val="ca-ES-valencia"/>
        </w:rPr>
        <w:t>Informe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 de l'òrgan competent en matèria de patrimoni de la Generalitat, sobre el sòl i l'immoble on se situa el centre a integrar, que </w:t>
      </w:r>
      <w:r w:rsidR="00C7754A" w:rsidRPr="00FB75DC">
        <w:rPr>
          <w:rFonts w:ascii="Verdana" w:hAnsi="Verdana" w:cs="Arial"/>
          <w:sz w:val="20"/>
          <w:szCs w:val="20"/>
          <w:lang w:val="ca-ES-valencia"/>
        </w:rPr>
        <w:t xml:space="preserve">haurà d'incloure que existeix </w:t>
      </w:r>
      <w:r w:rsidRPr="00FB75DC">
        <w:rPr>
          <w:rFonts w:ascii="Verdana" w:hAnsi="Verdana" w:cs="Arial"/>
          <w:sz w:val="20"/>
          <w:szCs w:val="20"/>
          <w:lang w:val="ca-ES-valencia"/>
        </w:rPr>
        <w:t>disponibilitat pressupostària per a fer front a les despeses que es deriven de la integració del centre en la xarxa de titularitat de la Generalitat.</w:t>
      </w:r>
    </w:p>
    <w:p w14:paraId="1C81459D" w14:textId="1FFF50BA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 xml:space="preserve">d) </w:t>
      </w:r>
      <w:r w:rsidR="00C7754A" w:rsidRPr="00FB75DC">
        <w:rPr>
          <w:rFonts w:ascii="Verdana" w:hAnsi="Verdana" w:cs="Arial"/>
          <w:sz w:val="20"/>
          <w:szCs w:val="20"/>
          <w:lang w:val="ca-ES-valencia"/>
        </w:rPr>
        <w:t>Informe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 favorable de l'òrgan competent en matèria d'infraestructures, sobre el compliment de l'immoble dels requisits fixats en el Reial decret  303/2010 de 15 de març, pel qual s'estableixen els requisits mínims dels centres que impartisquen ensenyaments artístics regulats en la Llei orgànica 2/2006, de 3 de maig, d'educació.</w:t>
      </w:r>
    </w:p>
    <w:p w14:paraId="32A069B1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3FF05A6E" w14:textId="32B8D31E" w:rsidR="00967D71" w:rsidRPr="00FB75DC" w:rsidRDefault="00BD22A3" w:rsidP="00967D71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 xml:space="preserve">3r. </w:t>
      </w:r>
      <w:r w:rsidR="00967D71" w:rsidRPr="00FB75DC">
        <w:rPr>
          <w:rFonts w:ascii="Verdana" w:hAnsi="Verdana" w:cs="Arial"/>
          <w:sz w:val="20"/>
          <w:szCs w:val="20"/>
          <w:lang w:val="ca-ES-valencia"/>
        </w:rPr>
        <w:t>El contingut de l'acord de l'Administració local amb la conselleria competent en matèria d'educació, de creació de conservatoris de música i dansa per integració en la xarxa de titularitat de la Generalitat s'ha de referir, si n'hi hagueren, als deutes de la gestió del centre i la manera de pagar-les, establint les garanties corresponents.</w:t>
      </w:r>
    </w:p>
    <w:p w14:paraId="1C1DE7E4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4255CA0E" w14:textId="4097C7CA" w:rsidR="00BD22A3" w:rsidRPr="00FB75DC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>4. Procediment</w:t>
      </w:r>
    </w:p>
    <w:p w14:paraId="55A74148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703545B6" w14:textId="2CBC901D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1. Correspon a la Conselleria competent en matèria d'educació la gestió del procediment d'integració</w:t>
      </w:r>
      <w:r w:rsidR="007350C8" w:rsidRPr="00FB75DC">
        <w:rPr>
          <w:rFonts w:ascii="Verdana" w:hAnsi="Verdana" w:cs="Arial"/>
          <w:sz w:val="20"/>
          <w:szCs w:val="20"/>
          <w:lang w:val="ca-ES-valencia"/>
        </w:rPr>
        <w:t>, que en relació amb el centre per al qual se sol·licita la integració d'un centre ha de valorar</w:t>
      </w:r>
      <w:r w:rsidR="00161D1B" w:rsidRPr="00FB75DC">
        <w:rPr>
          <w:rFonts w:ascii="Verdana" w:hAnsi="Verdana" w:cs="Arial"/>
          <w:sz w:val="20"/>
          <w:szCs w:val="20"/>
          <w:lang w:val="ca-ES-valencia"/>
        </w:rPr>
        <w:t xml:space="preserve"> 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la situació jurídica del sòl </w:t>
      </w:r>
      <w:r w:rsidR="001F1D1E" w:rsidRPr="00FB75DC">
        <w:rPr>
          <w:rFonts w:ascii="Verdana" w:hAnsi="Verdana" w:cs="Arial"/>
          <w:sz w:val="20"/>
          <w:szCs w:val="20"/>
          <w:lang w:val="ca-ES-valencia"/>
        </w:rPr>
        <w:t xml:space="preserve">i </w:t>
      </w:r>
      <w:r w:rsidRPr="00FB75DC">
        <w:rPr>
          <w:rFonts w:ascii="Verdana" w:hAnsi="Verdana" w:cs="Arial"/>
          <w:sz w:val="20"/>
          <w:szCs w:val="20"/>
          <w:lang w:val="ca-ES-valencia"/>
        </w:rPr>
        <w:t>de l'immoble en els quals està situat, d'acord amb l'informe emés per l'òrgan que tinga atribuïdes les competències en matèria de patrimoni de la Generalitat.</w:t>
      </w:r>
    </w:p>
    <w:p w14:paraId="46C05406" w14:textId="2F04C161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2. El procediment d'integració en la xarxa de titularitat de la Generalitat exigirà la subscripció d'un conveni que concrete i regule els drets i obligacions que assumeixen cadascuna de les parts</w:t>
      </w:r>
      <w:r w:rsidR="00CA3EFF" w:rsidRPr="00FB75DC">
        <w:rPr>
          <w:rFonts w:ascii="Verdana" w:hAnsi="Verdana" w:cs="Arial"/>
          <w:sz w:val="20"/>
          <w:szCs w:val="20"/>
          <w:lang w:val="ca-ES-valencia"/>
        </w:rPr>
        <w:t>, i que haurà de tindre en compte la legislació bàsica en aquesta matèria, en concret, el que es disposa en els articles 49 a 53 de la Llei 40/2015,</w:t>
      </w:r>
      <w:r w:rsidR="00585E40" w:rsidRPr="00FB75DC">
        <w:rPr>
          <w:rFonts w:ascii="Verdana" w:hAnsi="Verdana" w:cs="Arial"/>
          <w:sz w:val="20"/>
          <w:szCs w:val="20"/>
          <w:lang w:val="ca-ES-valencia"/>
        </w:rPr>
        <w:t xml:space="preserve"> d’1 d’octubre,</w:t>
      </w:r>
      <w:r w:rsidR="00CA3EFF" w:rsidRPr="00FB75DC">
        <w:rPr>
          <w:rFonts w:ascii="Verdana" w:hAnsi="Verdana" w:cs="Arial"/>
          <w:sz w:val="20"/>
          <w:szCs w:val="20"/>
          <w:lang w:val="ca-ES-valencia"/>
        </w:rPr>
        <w:t xml:space="preserve"> de règim jurídic del sector públic</w:t>
      </w:r>
      <w:r w:rsidRPr="00FB75DC">
        <w:rPr>
          <w:rFonts w:ascii="Verdana" w:hAnsi="Verdana" w:cs="Arial"/>
          <w:sz w:val="20"/>
          <w:szCs w:val="20"/>
          <w:lang w:val="ca-ES-valencia"/>
        </w:rPr>
        <w:t>.</w:t>
      </w:r>
    </w:p>
    <w:p w14:paraId="5B643C3A" w14:textId="25FA0CE0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3. La integració de centres educatius en la xarxa de titularitat de la Generalitat s'aprovarà per acord del Consell relatiu a la creació de centres educatius per integració, que s'ha de publicar en el Diari Oficial de la Generalitat Valenciana, a proposta de la conselleria competent en matèria d'educació.</w:t>
      </w:r>
    </w:p>
    <w:p w14:paraId="04CCA98C" w14:textId="77777777" w:rsidR="009C1376" w:rsidRPr="00FB75DC" w:rsidRDefault="009C1376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2F6752F1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5E565B67" w14:textId="77777777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</w:p>
    <w:p w14:paraId="31FD6B5D" w14:textId="61C845FE" w:rsidR="00BD22A3" w:rsidRPr="00FB75DC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  <w:r w:rsidRPr="00FB75DC">
        <w:rPr>
          <w:rFonts w:ascii="Verdana" w:hAnsi="Verdana" w:cs="Arial"/>
          <w:b/>
          <w:bCs/>
          <w:sz w:val="20"/>
          <w:szCs w:val="20"/>
          <w:lang w:val="ca-ES-valencia"/>
        </w:rPr>
        <w:t xml:space="preserve">5. Efectes en relació amb el personal </w:t>
      </w:r>
      <w:r w:rsidR="00D85E36" w:rsidRPr="00FB75DC">
        <w:rPr>
          <w:rFonts w:ascii="Verdana" w:hAnsi="Verdana" w:cs="Arial"/>
          <w:b/>
          <w:bCs/>
          <w:sz w:val="20"/>
          <w:szCs w:val="20"/>
          <w:lang w:val="ca-ES-valencia"/>
        </w:rPr>
        <w:t>docent</w:t>
      </w:r>
    </w:p>
    <w:p w14:paraId="42D62593" w14:textId="77777777" w:rsidR="00BD22A3" w:rsidRPr="00FB75DC" w:rsidRDefault="00BD22A3" w:rsidP="00BD22A3">
      <w:pPr>
        <w:jc w:val="both"/>
        <w:rPr>
          <w:rFonts w:ascii="Verdana" w:hAnsi="Verdana" w:cs="Arial"/>
          <w:b/>
          <w:bCs/>
          <w:sz w:val="20"/>
          <w:szCs w:val="20"/>
          <w:lang w:val="ca-ES-valencia"/>
        </w:rPr>
      </w:pPr>
    </w:p>
    <w:p w14:paraId="620CACAB" w14:textId="2695075B" w:rsidR="00BD22A3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1r.</w:t>
      </w:r>
      <w:r w:rsidR="001F1D1E" w:rsidRPr="00FB75DC">
        <w:rPr>
          <w:rFonts w:ascii="Verdana" w:hAnsi="Verdana" w:cs="Arial"/>
          <w:sz w:val="20"/>
          <w:szCs w:val="20"/>
          <w:lang w:val="ca-ES-valencia"/>
        </w:rPr>
        <w:t xml:space="preserve"> 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El personal docent funcionari de carrera o laboral fix adscrit als serveis </w:t>
      </w:r>
      <w:r w:rsidR="001F1D1E" w:rsidRPr="00FB75DC">
        <w:rPr>
          <w:rFonts w:ascii="Verdana" w:hAnsi="Verdana" w:cs="Arial"/>
          <w:sz w:val="20"/>
          <w:szCs w:val="20"/>
          <w:lang w:val="ca-ES-valencia"/>
        </w:rPr>
        <w:t>i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 establiments que es traspassen romandrà en l'Administració d'origen respectiva. Aquest personal </w:t>
      </w:r>
      <w:r w:rsidR="00D85E36" w:rsidRPr="00FB75DC">
        <w:rPr>
          <w:rFonts w:ascii="Verdana" w:hAnsi="Verdana" w:cs="Arial"/>
          <w:sz w:val="20"/>
          <w:szCs w:val="20"/>
          <w:lang w:val="ca-ES-valencia"/>
        </w:rPr>
        <w:t xml:space="preserve">formarà </w:t>
      </w:r>
      <w:r w:rsidR="00967D71" w:rsidRPr="00FB75DC">
        <w:rPr>
          <w:rFonts w:ascii="Verdana" w:hAnsi="Verdana" w:cs="Arial"/>
          <w:sz w:val="20"/>
          <w:szCs w:val="20"/>
          <w:lang w:val="ca-ES-valencia"/>
        </w:rPr>
        <w:t xml:space="preserve">part </w:t>
      </w:r>
      <w:r w:rsidR="00D85E36" w:rsidRPr="00FB75DC">
        <w:rPr>
          <w:rFonts w:ascii="Verdana" w:hAnsi="Verdana" w:cs="Arial"/>
          <w:sz w:val="20"/>
          <w:szCs w:val="20"/>
          <w:lang w:val="ca-ES-valencia"/>
        </w:rPr>
        <w:t>del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 claustre del centre educatiu</w:t>
      </w:r>
      <w:r w:rsidR="00FF03CD" w:rsidRPr="00FB75DC">
        <w:rPr>
          <w:rFonts w:ascii="Verdana" w:hAnsi="Verdana" w:cs="Arial"/>
          <w:sz w:val="20"/>
          <w:szCs w:val="20"/>
          <w:lang w:val="ca-ES-valencia"/>
        </w:rPr>
        <w:t xml:space="preserve"> i del consell escolar d'aquest, en cas de ser triat</w:t>
      </w:r>
      <w:r w:rsidRPr="00FB75DC">
        <w:rPr>
          <w:rFonts w:ascii="Verdana" w:hAnsi="Verdana" w:cs="Arial"/>
          <w:sz w:val="20"/>
          <w:szCs w:val="20"/>
          <w:lang w:val="ca-ES-valencia"/>
        </w:rPr>
        <w:t>.</w:t>
      </w:r>
    </w:p>
    <w:p w14:paraId="447035E6" w14:textId="08D1C2FA" w:rsidR="00D930B2" w:rsidRPr="00FB75DC" w:rsidRDefault="00BD22A3" w:rsidP="00BD22A3">
      <w:pPr>
        <w:jc w:val="both"/>
        <w:rPr>
          <w:rFonts w:ascii="Verdana" w:hAnsi="Verdana" w:cs="Arial"/>
          <w:sz w:val="20"/>
          <w:szCs w:val="20"/>
          <w:lang w:val="ca-ES-valencia"/>
        </w:rPr>
      </w:pPr>
      <w:r w:rsidRPr="00FB75DC">
        <w:rPr>
          <w:rFonts w:ascii="Verdana" w:hAnsi="Verdana" w:cs="Arial"/>
          <w:sz w:val="20"/>
          <w:szCs w:val="20"/>
          <w:lang w:val="ca-ES-valencia"/>
        </w:rPr>
        <w:t>2n.</w:t>
      </w:r>
      <w:r w:rsidR="001F1D1E" w:rsidRPr="00FB75DC">
        <w:rPr>
          <w:rFonts w:ascii="Verdana" w:hAnsi="Verdana" w:cs="Arial"/>
          <w:sz w:val="20"/>
          <w:szCs w:val="20"/>
          <w:lang w:val="ca-ES-valencia"/>
        </w:rPr>
        <w:t xml:space="preserve"> </w:t>
      </w:r>
      <w:r w:rsidRPr="00FB75DC">
        <w:rPr>
          <w:rFonts w:ascii="Verdana" w:hAnsi="Verdana" w:cs="Arial"/>
          <w:sz w:val="20"/>
          <w:szCs w:val="20"/>
          <w:lang w:val="ca-ES-valencia"/>
        </w:rPr>
        <w:t xml:space="preserve">Les noves necessitats de personal es cobriran per l'Administració educativa a través de la creació dels corresponents llocs de treball i la seua provisió. </w:t>
      </w:r>
      <w:bookmarkEnd w:id="2"/>
    </w:p>
    <w:bookmarkEnd w:id="0"/>
    <w:sectPr w:rsidR="00D930B2" w:rsidRPr="00FB75DC">
      <w:footerReference w:type="default" r:id="rId8"/>
      <w:pgSz w:w="11906" w:h="16838"/>
      <w:pgMar w:top="720" w:right="1134" w:bottom="1134" w:left="1134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AA77E" w14:textId="77777777" w:rsidR="006A1C45" w:rsidRDefault="006A1C45">
      <w:r>
        <w:separator/>
      </w:r>
    </w:p>
  </w:endnote>
  <w:endnote w:type="continuationSeparator" w:id="0">
    <w:p w14:paraId="776B1C0B" w14:textId="77777777" w:rsidR="006A1C45" w:rsidRDefault="006A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anda">
    <w:panose1 w:val="020B0603030804020204"/>
    <w:charset w:val="00"/>
    <w:family w:val="swiss"/>
    <w:pitch w:val="variable"/>
    <w:sig w:usb0="800000AF" w:usb1="4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DA42B" w14:textId="77777777" w:rsidR="006A1C45" w:rsidRDefault="006A1C45">
    <w:pPr>
      <w:pStyle w:val="Piedepgina"/>
      <w:jc w:val="center"/>
    </w:pPr>
    <w:proofErr w:type="spellStart"/>
    <w:r>
      <w:rPr>
        <w:rFonts w:ascii="Calibri" w:hAnsi="Calibri"/>
        <w:color w:val="4C4C4C"/>
        <w:sz w:val="16"/>
        <w:szCs w:val="16"/>
      </w:rPr>
      <w:t>Pàgina</w:t>
    </w:r>
    <w:proofErr w:type="spellEnd"/>
    <w:r>
      <w:rPr>
        <w:rFonts w:ascii="Calibri" w:hAnsi="Calibri"/>
        <w:color w:val="4C4C4C"/>
        <w:sz w:val="16"/>
        <w:szCs w:val="16"/>
      </w:rPr>
      <w:t xml:space="preserve"> </w:t>
    </w:r>
    <w:r>
      <w:rPr>
        <w:rFonts w:ascii="Calibri" w:hAnsi="Calibri"/>
        <w:color w:val="4C4C4C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12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color w:val="4C4C4C"/>
        <w:sz w:val="16"/>
        <w:szCs w:val="16"/>
      </w:rPr>
      <w:t xml:space="preserve"> de </w:t>
    </w:r>
    <w:r>
      <w:rPr>
        <w:rFonts w:ascii="Calibri" w:hAnsi="Calibri"/>
        <w:color w:val="4C4C4C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NUMPAGES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14</w:t>
    </w:r>
    <w:r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7B63D" w14:textId="77777777" w:rsidR="006A1C45" w:rsidRDefault="006A1C45">
      <w:r>
        <w:separator/>
      </w:r>
    </w:p>
  </w:footnote>
  <w:footnote w:type="continuationSeparator" w:id="0">
    <w:p w14:paraId="3E74B610" w14:textId="77777777" w:rsidR="006A1C45" w:rsidRDefault="006A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379CC"/>
    <w:multiLevelType w:val="multilevel"/>
    <w:tmpl w:val="CA34E9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82EA0"/>
    <w:multiLevelType w:val="hybridMultilevel"/>
    <w:tmpl w:val="CFA0C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12DA"/>
    <w:multiLevelType w:val="hybridMultilevel"/>
    <w:tmpl w:val="534879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7B2D"/>
    <w:multiLevelType w:val="hybridMultilevel"/>
    <w:tmpl w:val="DAE05A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6FF2"/>
    <w:multiLevelType w:val="hybridMultilevel"/>
    <w:tmpl w:val="38A6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88"/>
    <w:rsid w:val="00011E64"/>
    <w:rsid w:val="00012C2B"/>
    <w:rsid w:val="000131EB"/>
    <w:rsid w:val="00016515"/>
    <w:rsid w:val="000247C8"/>
    <w:rsid w:val="0002790E"/>
    <w:rsid w:val="0004140A"/>
    <w:rsid w:val="000647F7"/>
    <w:rsid w:val="000747CD"/>
    <w:rsid w:val="00076B74"/>
    <w:rsid w:val="00077E6D"/>
    <w:rsid w:val="00086331"/>
    <w:rsid w:val="000A1F01"/>
    <w:rsid w:val="000B37D8"/>
    <w:rsid w:val="00112A02"/>
    <w:rsid w:val="00116A44"/>
    <w:rsid w:val="00144318"/>
    <w:rsid w:val="0015509C"/>
    <w:rsid w:val="00161D1B"/>
    <w:rsid w:val="00181526"/>
    <w:rsid w:val="00192E26"/>
    <w:rsid w:val="00194369"/>
    <w:rsid w:val="001B60C8"/>
    <w:rsid w:val="001D2791"/>
    <w:rsid w:val="001F1D1E"/>
    <w:rsid w:val="002800DF"/>
    <w:rsid w:val="00295B5E"/>
    <w:rsid w:val="002B2115"/>
    <w:rsid w:val="002F50BB"/>
    <w:rsid w:val="00312296"/>
    <w:rsid w:val="003274D9"/>
    <w:rsid w:val="00392113"/>
    <w:rsid w:val="00396002"/>
    <w:rsid w:val="003C797C"/>
    <w:rsid w:val="003D0F66"/>
    <w:rsid w:val="004017B5"/>
    <w:rsid w:val="004264AF"/>
    <w:rsid w:val="00430218"/>
    <w:rsid w:val="004539DC"/>
    <w:rsid w:val="00453F5C"/>
    <w:rsid w:val="00462870"/>
    <w:rsid w:val="00476A88"/>
    <w:rsid w:val="004D7D6D"/>
    <w:rsid w:val="004F7594"/>
    <w:rsid w:val="00512A0C"/>
    <w:rsid w:val="0054107A"/>
    <w:rsid w:val="00585E40"/>
    <w:rsid w:val="00593101"/>
    <w:rsid w:val="005A4E20"/>
    <w:rsid w:val="005C14E1"/>
    <w:rsid w:val="005F1768"/>
    <w:rsid w:val="005F7A8C"/>
    <w:rsid w:val="00600EEA"/>
    <w:rsid w:val="00611C96"/>
    <w:rsid w:val="00644756"/>
    <w:rsid w:val="00645716"/>
    <w:rsid w:val="00667113"/>
    <w:rsid w:val="006746DD"/>
    <w:rsid w:val="006A1C45"/>
    <w:rsid w:val="006A7B8C"/>
    <w:rsid w:val="006B36D7"/>
    <w:rsid w:val="006C1C5D"/>
    <w:rsid w:val="006C26BC"/>
    <w:rsid w:val="006E15E3"/>
    <w:rsid w:val="006F48FE"/>
    <w:rsid w:val="00720AE7"/>
    <w:rsid w:val="00721A9F"/>
    <w:rsid w:val="007350C8"/>
    <w:rsid w:val="00747766"/>
    <w:rsid w:val="00755E10"/>
    <w:rsid w:val="00757581"/>
    <w:rsid w:val="007605B1"/>
    <w:rsid w:val="0076779F"/>
    <w:rsid w:val="00776CAD"/>
    <w:rsid w:val="007836E7"/>
    <w:rsid w:val="007C181F"/>
    <w:rsid w:val="007D0596"/>
    <w:rsid w:val="007D63DE"/>
    <w:rsid w:val="007E40A5"/>
    <w:rsid w:val="008220F0"/>
    <w:rsid w:val="0084661E"/>
    <w:rsid w:val="00855FEF"/>
    <w:rsid w:val="008719AE"/>
    <w:rsid w:val="008766CD"/>
    <w:rsid w:val="008A26D8"/>
    <w:rsid w:val="008B46A6"/>
    <w:rsid w:val="00916164"/>
    <w:rsid w:val="00921475"/>
    <w:rsid w:val="009256B7"/>
    <w:rsid w:val="00932E82"/>
    <w:rsid w:val="00967D71"/>
    <w:rsid w:val="009A6E2F"/>
    <w:rsid w:val="009C1376"/>
    <w:rsid w:val="009D2269"/>
    <w:rsid w:val="009D7059"/>
    <w:rsid w:val="009F0653"/>
    <w:rsid w:val="00A1405F"/>
    <w:rsid w:val="00A367DB"/>
    <w:rsid w:val="00A43B18"/>
    <w:rsid w:val="00A67028"/>
    <w:rsid w:val="00AB13DC"/>
    <w:rsid w:val="00AC133B"/>
    <w:rsid w:val="00AE4A3C"/>
    <w:rsid w:val="00AE6D2D"/>
    <w:rsid w:val="00B011AE"/>
    <w:rsid w:val="00B05906"/>
    <w:rsid w:val="00B06646"/>
    <w:rsid w:val="00B4061A"/>
    <w:rsid w:val="00B8374F"/>
    <w:rsid w:val="00B844E3"/>
    <w:rsid w:val="00B85946"/>
    <w:rsid w:val="00B94C13"/>
    <w:rsid w:val="00BD22A3"/>
    <w:rsid w:val="00BD3BD6"/>
    <w:rsid w:val="00C00E96"/>
    <w:rsid w:val="00C12E1A"/>
    <w:rsid w:val="00C17789"/>
    <w:rsid w:val="00C65514"/>
    <w:rsid w:val="00C7754A"/>
    <w:rsid w:val="00C85082"/>
    <w:rsid w:val="00C86847"/>
    <w:rsid w:val="00C906B7"/>
    <w:rsid w:val="00C95197"/>
    <w:rsid w:val="00C96F3F"/>
    <w:rsid w:val="00CA1516"/>
    <w:rsid w:val="00CA3EFF"/>
    <w:rsid w:val="00CA4AD4"/>
    <w:rsid w:val="00CB5F40"/>
    <w:rsid w:val="00D0084F"/>
    <w:rsid w:val="00D37F1B"/>
    <w:rsid w:val="00D47335"/>
    <w:rsid w:val="00D52389"/>
    <w:rsid w:val="00D67B37"/>
    <w:rsid w:val="00D85E36"/>
    <w:rsid w:val="00D872A6"/>
    <w:rsid w:val="00D930B2"/>
    <w:rsid w:val="00D957DA"/>
    <w:rsid w:val="00DA2A2D"/>
    <w:rsid w:val="00DE5B91"/>
    <w:rsid w:val="00DE785A"/>
    <w:rsid w:val="00E30EED"/>
    <w:rsid w:val="00E441E1"/>
    <w:rsid w:val="00E512B1"/>
    <w:rsid w:val="00E56887"/>
    <w:rsid w:val="00E61C60"/>
    <w:rsid w:val="00E825F5"/>
    <w:rsid w:val="00E82D2F"/>
    <w:rsid w:val="00E94090"/>
    <w:rsid w:val="00EA098E"/>
    <w:rsid w:val="00ED0388"/>
    <w:rsid w:val="00EE102F"/>
    <w:rsid w:val="00EE2766"/>
    <w:rsid w:val="00EF2B1C"/>
    <w:rsid w:val="00F07937"/>
    <w:rsid w:val="00F35D33"/>
    <w:rsid w:val="00F76C5C"/>
    <w:rsid w:val="00FB75DC"/>
    <w:rsid w:val="00FC0FBE"/>
    <w:rsid w:val="00FC598A"/>
    <w:rsid w:val="00FC6D2E"/>
    <w:rsid w:val="00FE1BA3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0C6E"/>
  <w15:docId w15:val="{6F098D41-5549-4F4B-9CE3-0544F307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2"/>
        <w:sz w:val="24"/>
        <w:szCs w:val="24"/>
        <w:lang w:val="es-E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A44"/>
    <w:pPr>
      <w:suppressAutoHyphens/>
    </w:pPr>
  </w:style>
  <w:style w:type="paragraph" w:styleId="Ttulo2">
    <w:name w:val="heading 2"/>
    <w:basedOn w:val="Encapalament"/>
    <w:uiPriority w:val="9"/>
    <w:unhideWhenUsed/>
    <w:qFormat/>
    <w:pPr>
      <w:numPr>
        <w:ilvl w:val="1"/>
        <w:numId w:val="1"/>
      </w:numPr>
      <w:outlineLvl w:val="1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6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Encapalament"/>
    <w:next w:val="Textoindependiente"/>
    <w:link w:val="Ttulo5Car"/>
    <w:uiPriority w:val="9"/>
    <w:unhideWhenUsed/>
    <w:qFormat/>
    <w:pPr>
      <w:spacing w:before="120" w:after="60"/>
      <w:jc w:val="both"/>
      <w:outlineLvl w:val="4"/>
    </w:pPr>
    <w:rPr>
      <w:rFonts w:ascii="Veranda" w:eastAsia="Segoe UI" w:hAnsi="Veranda" w:cs="Arial"/>
      <w:b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Pr>
      <w:i/>
      <w:iCs/>
    </w:rPr>
  </w:style>
  <w:style w:type="character" w:customStyle="1" w:styleId="Fuentedeprrafopredeter1">
    <w:name w:val="Fuente de párrafo predeter.1"/>
    <w:qFormat/>
  </w:style>
  <w:style w:type="character" w:customStyle="1" w:styleId="linktodoc">
    <w:name w:val="linktodoc"/>
    <w:basedOn w:val="Fuentedeprrafopredeter1"/>
    <w:qFormat/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position w:val="24"/>
      <w:sz w:val="16"/>
    </w:rPr>
  </w:style>
  <w:style w:type="character" w:customStyle="1" w:styleId="WW8Num2z0">
    <w:name w:val="WW8Num2z0"/>
    <w:qFormat/>
    <w:rPr>
      <w:rFonts w:cs="Calibri"/>
    </w:rPr>
  </w:style>
  <w:style w:type="character" w:customStyle="1" w:styleId="WW8Num3z0">
    <w:name w:val="WW8Num3z0"/>
    <w:qFormat/>
    <w:rPr>
      <w:rFonts w:ascii="Calibri" w:eastAsia="Calibri" w:hAnsi="Calibri" w:cs="Calibri"/>
      <w:sz w:val="22"/>
      <w:szCs w:val="22"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5z0">
    <w:name w:val="WW8Num5z0"/>
    <w:qFormat/>
    <w:rPr>
      <w:rFonts w:ascii="Calibri" w:eastAsia="Calibri" w:hAnsi="Calibri" w:cs="Calibri"/>
      <w:sz w:val="22"/>
      <w:szCs w:val="22"/>
    </w:rPr>
  </w:style>
  <w:style w:type="character" w:customStyle="1" w:styleId="mfasifort">
    <w:name w:val="Èmfasi fort"/>
    <w:qFormat/>
    <w:rPr>
      <w:b/>
      <w:bCs/>
    </w:rPr>
  </w:style>
  <w:style w:type="character" w:customStyle="1" w:styleId="WWCharLFO1LVL1">
    <w:name w:val="WW_CharLFO1LVL1"/>
    <w:qFormat/>
    <w:rPr>
      <w:rFonts w:cs="Calibri"/>
    </w:rPr>
  </w:style>
  <w:style w:type="character" w:customStyle="1" w:styleId="WWCharLFO2LVL1">
    <w:name w:val="WW_CharLFO2LVL1"/>
    <w:qFormat/>
    <w:rPr>
      <w:rFonts w:ascii="Calibri" w:hAnsi="Calibri" w:cs="Calibri"/>
      <w:sz w:val="22"/>
      <w:szCs w:val="22"/>
    </w:rPr>
  </w:style>
  <w:style w:type="character" w:customStyle="1" w:styleId="WWCharLFO3LVL1">
    <w:name w:val="WW_CharLFO3LVL1"/>
    <w:qFormat/>
    <w:rPr>
      <w:rFonts w:cs="Calibri"/>
    </w:rPr>
  </w:style>
  <w:style w:type="character" w:customStyle="1" w:styleId="WWCharLFO4LVL1">
    <w:name w:val="WW_CharLFO4LVL1"/>
    <w:qFormat/>
    <w:rPr>
      <w:rFonts w:ascii="Calibri" w:hAnsi="Calibri" w:cs="Calibri"/>
      <w:sz w:val="22"/>
      <w:szCs w:val="22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mfasi1">
    <w:name w:val="Èmfasi1"/>
    <w:qFormat/>
    <w:rPr>
      <w:i/>
      <w:iCs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TextoindependienteCar">
    <w:name w:val="Texto independiente Car"/>
    <w:basedOn w:val="Fuentedeprrafopredeter"/>
    <w:qFormat/>
    <w:rPr>
      <w:rFonts w:cs="0"/>
    </w:rPr>
  </w:style>
  <w:style w:type="paragraph" w:customStyle="1" w:styleId="Encapalament">
    <w:name w:val="Encapçalament"/>
    <w:basedOn w:val="Normal"/>
    <w:qFormat/>
  </w:style>
  <w:style w:type="paragraph" w:styleId="Textoindependiente">
    <w:name w:val="Body Text"/>
    <w:basedOn w:val="Normal"/>
    <w:pPr>
      <w:spacing w:after="120"/>
    </w:pPr>
  </w:style>
  <w:style w:type="paragraph" w:customStyle="1" w:styleId="LO-Normal">
    <w:name w:val="LO-Normal"/>
    <w:qFormat/>
    <w:pPr>
      <w:widowControl w:val="0"/>
      <w:suppressAutoHyphens/>
    </w:pPr>
    <w:rPr>
      <w:lang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Encapalamentdelataula">
    <w:name w:val="Encapçalament de la taula"/>
    <w:basedOn w:val="Contingutdelataula"/>
    <w:qFormat/>
  </w:style>
  <w:style w:type="paragraph" w:customStyle="1" w:styleId="tableheader2">
    <w:name w:val="tableheader2"/>
    <w:basedOn w:val="Normal"/>
    <w:qFormat/>
    <w:pPr>
      <w:spacing w:before="280" w:after="280"/>
    </w:pPr>
  </w:style>
  <w:style w:type="paragraph" w:customStyle="1" w:styleId="tablefooter2">
    <w:name w:val="tablefooter2"/>
    <w:basedOn w:val="Normal"/>
    <w:qFormat/>
    <w:pPr>
      <w:spacing w:before="280" w:after="280"/>
    </w:p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aconvietas3">
    <w:name w:val="List Bullet 3"/>
    <w:basedOn w:val="Normal"/>
    <w:pPr>
      <w:ind w:left="566" w:hanging="283"/>
    </w:pPr>
  </w:style>
  <w:style w:type="paragraph" w:styleId="Listaconvietas4">
    <w:name w:val="List Bullet 4"/>
    <w:basedOn w:val="Normal"/>
    <w:pPr>
      <w:ind w:left="849" w:hanging="283"/>
    </w:pPr>
  </w:style>
  <w:style w:type="paragraph" w:customStyle="1" w:styleId="Standard">
    <w:name w:val="Standard"/>
    <w:qFormat/>
    <w:pPr>
      <w:suppressAutoHyphens/>
    </w:pPr>
    <w:rPr>
      <w:rFonts w:eastAsia="Times New Roman" w:cs="Times New Roman"/>
      <w:lang w:eastAsia="zh-CN" w:bidi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20" w:line="288" w:lineRule="auto"/>
    </w:pPr>
  </w:style>
  <w:style w:type="paragraph" w:styleId="Textonotapie">
    <w:name w:val="footnote text"/>
    <w:basedOn w:val="Normal"/>
  </w:style>
  <w:style w:type="paragraph" w:customStyle="1" w:styleId="d2">
    <w:name w:val="d2"/>
    <w:basedOn w:val="Normal"/>
    <w:qFormat/>
    <w:pPr>
      <w:spacing w:before="280" w:after="280"/>
    </w:p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paragraph" w:customStyle="1" w:styleId="d3">
    <w:name w:val="d3"/>
    <w:basedOn w:val="Normal"/>
    <w:qFormat/>
    <w:pPr>
      <w:spacing w:before="280" w:after="280"/>
    </w:pPr>
  </w:style>
  <w:style w:type="paragraph" w:styleId="Sangradetextonormal">
    <w:name w:val="Body Text Indent"/>
    <w:basedOn w:val="Normal"/>
    <w:pPr>
      <w:ind w:left="1418"/>
      <w:jc w:val="both"/>
    </w:pPr>
    <w:rPr>
      <w:rFonts w:ascii="Verdana" w:eastAsia="Verdana" w:hAnsi="Verdana" w:cs="Verdana"/>
      <w:i/>
      <w:color w:val="000000"/>
    </w:rPr>
  </w:style>
  <w:style w:type="paragraph" w:styleId="Sangra3detindependiente">
    <w:name w:val="Body Text Indent 3"/>
    <w:basedOn w:val="Normal"/>
    <w:qFormat/>
    <w:pPr>
      <w:ind w:left="1134"/>
      <w:jc w:val="both"/>
    </w:pPr>
    <w:rPr>
      <w:rFonts w:ascii="Arial" w:eastAsia="Arial" w:hAnsi="Arial" w:cs="Arial"/>
      <w:color w:val="000000"/>
      <w:sz w:val="26"/>
    </w:rPr>
  </w:style>
  <w:style w:type="paragraph" w:styleId="Sangra2detindependiente">
    <w:name w:val="Body Text Indent 2"/>
    <w:basedOn w:val="Normal"/>
    <w:qFormat/>
    <w:pPr>
      <w:ind w:firstLine="705"/>
      <w:jc w:val="both"/>
    </w:pPr>
    <w:rPr>
      <w:i/>
      <w:sz w:val="26"/>
    </w:rPr>
  </w:style>
  <w:style w:type="paragraph" w:styleId="Textosinformato">
    <w:name w:val="Plain Text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Textosinformato1">
    <w:name w:val="Texto sin formato1"/>
    <w:basedOn w:val="Normal"/>
    <w:qFormat/>
    <w:rPr>
      <w:rFonts w:ascii="Courier New" w:eastAsia="Courier New" w:hAnsi="Courier New" w:cs="Courier New"/>
      <w:lang w:eastAsia="zh-CN"/>
    </w:rPr>
  </w:style>
  <w:style w:type="paragraph" w:customStyle="1" w:styleId="NormalNumeros">
    <w:name w:val="Normal + Numeros"/>
    <w:basedOn w:val="Textosinformato1"/>
    <w:qFormat/>
    <w:pPr>
      <w:ind w:left="142" w:firstLine="567"/>
      <w:jc w:val="both"/>
    </w:pPr>
    <w:rPr>
      <w:rFonts w:ascii="Garamond" w:eastAsia="Garamond" w:hAnsi="Garamond" w:cs="Garamond"/>
      <w:color w:val="000000"/>
      <w:sz w:val="22"/>
      <w:szCs w:val="22"/>
    </w:rPr>
  </w:style>
  <w:style w:type="paragraph" w:customStyle="1" w:styleId="Textoindependiente21">
    <w:name w:val="Texto independiente 21"/>
    <w:basedOn w:val="Normal"/>
    <w:qFormat/>
    <w:pPr>
      <w:jc w:val="both"/>
    </w:pPr>
    <w:rPr>
      <w:rFonts w:ascii="Arial" w:eastAsia="Arial" w:hAnsi="Arial" w:cs="Arial"/>
      <w:b/>
      <w:lang w:eastAsia="zh-CN"/>
    </w:rPr>
  </w:style>
  <w:style w:type="paragraph" w:styleId="Textoindependienteprimerasangra2">
    <w:name w:val="Body Text First Indent 2"/>
    <w:basedOn w:val="Sangradetextonormal"/>
    <w:qFormat/>
    <w:pPr>
      <w:ind w:left="360" w:firstLine="360"/>
    </w:pPr>
  </w:style>
  <w:style w:type="paragraph" w:customStyle="1" w:styleId="Nivel2indice">
    <w:name w:val="Nivel 2 indice"/>
    <w:basedOn w:val="Normal"/>
    <w:qFormat/>
    <w:pPr>
      <w:spacing w:before="85" w:after="57"/>
      <w:ind w:firstLine="709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ocumentMap">
    <w:name w:val="DocumentMap"/>
    <w:qFormat/>
    <w:pPr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</w:rPr>
  </w:style>
  <w:style w:type="paragraph" w:customStyle="1" w:styleId="Textpreformatat">
    <w:name w:val="Text preformata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  <w:textAlignment w:val="auto"/>
    </w:pPr>
    <w:rPr>
      <w:rFonts w:ascii="Calibri" w:eastAsia="SimSun" w:hAnsi="Calibri" w:cs="Calibri"/>
      <w:color w:val="00000A"/>
      <w:sz w:val="22"/>
      <w:szCs w:val="22"/>
      <w:lang w:val="ca-ES" w:bidi="ar-SA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C1C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C5D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6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B4061A"/>
    <w:rPr>
      <w:rFonts w:ascii="Veranda" w:eastAsia="Segoe UI" w:hAnsi="Veranda" w:cs="Arial"/>
      <w:bCs/>
      <w:color w:val="000000"/>
      <w:sz w:val="20"/>
      <w:szCs w:val="20"/>
    </w:rPr>
  </w:style>
  <w:style w:type="paragraph" w:customStyle="1" w:styleId="msonormal0">
    <w:name w:val="msonormal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parrafo">
    <w:name w:val="parrafo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abezatabla">
    <w:name w:val="cabeza_tabla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uerpotablacentro">
    <w:name w:val="cuerpo_tabla_centro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uerpotablaizq">
    <w:name w:val="cuerpo_tabla_izq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cuerpotablader">
    <w:name w:val="cuerpo_tabla_der"/>
    <w:basedOn w:val="Normal"/>
    <w:rsid w:val="00B4061A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971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FORÉS MARZÁ, JOAQUÍN</dc:creator>
  <dc:description/>
  <cp:lastModifiedBy>RIOJA RIOJA, Mª TERESA</cp:lastModifiedBy>
  <cp:revision>3</cp:revision>
  <cp:lastPrinted>2021-10-28T12:19:00Z</cp:lastPrinted>
  <dcterms:created xsi:type="dcterms:W3CDTF">2021-10-29T09:42:00Z</dcterms:created>
  <dcterms:modified xsi:type="dcterms:W3CDTF">2021-10-29T09:43:00Z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