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6F8" w:rsidRDefault="001B5464">
      <w:pPr>
        <w:pStyle w:val="Standard"/>
        <w:spacing w:after="113" w:line="276" w:lineRule="auto"/>
        <w:jc w:val="center"/>
        <w:rPr>
          <w:rFonts w:ascii="Calibri" w:hAnsi="Calibri"/>
          <w:b/>
          <w:bCs/>
          <w:color w:val="000000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</w:rPr>
        <w:t>PROPOSTA ACORDADA</w:t>
      </w:r>
      <w:r>
        <w:rPr>
          <w:rFonts w:ascii="Calibri" w:hAnsi="Calibri"/>
          <w:b/>
          <w:bCs/>
          <w:color w:val="000000"/>
        </w:rPr>
        <w:t xml:space="preserve"> EN MESA SECTORIAL PER A L’APLICACIÓ DEL “PROGRAMA TEMPORAL DE LLUITA CONTRA LA BRETXA SALARIAL I RACIONALITZACIÓ I MILLORA DE LA CLASSIFICACIÓ DE LLOCS”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 w:cs="Arial"/>
          <w:color w:val="000000"/>
          <w:lang w:val="ca-ES"/>
        </w:rPr>
        <w:t>Mitjançant Acord de 17 de juny de 2016, el Consell va ratificar l'Acord de Legislatura de la Mesa Gene</w:t>
      </w:r>
      <w:r>
        <w:rPr>
          <w:rFonts w:ascii="Calibri" w:hAnsi="Calibri" w:cs="Arial"/>
          <w:color w:val="000000"/>
          <w:lang w:val="ca-ES"/>
        </w:rPr>
        <w:t>ral de Negociació del personal funcionarial, estatutari i laboral de la Generalitat (MGN I), de 9 de juny de 2016, per al període 2015-2019. Aquest Acord recordava que un clima seré afavoreix tant la millora de les condicions de treball del personal emplea</w:t>
      </w:r>
      <w:r>
        <w:rPr>
          <w:rFonts w:ascii="Calibri" w:hAnsi="Calibri" w:cs="Arial"/>
          <w:color w:val="000000"/>
          <w:lang w:val="ca-ES"/>
        </w:rPr>
        <w:t>t públic com la necessària transformació de l'Administració de la Generalitat en una administració professional, amb una major eficàcia i eficiència, així com més pròxima a la ciutadania.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 w:cs="Arial"/>
          <w:color w:val="000000"/>
          <w:lang w:val="ca-ES"/>
        </w:rPr>
        <w:t>La voluntat de la MGN I de 29 de juliol de 2021 és completar, de man</w:t>
      </w:r>
      <w:r>
        <w:rPr>
          <w:rFonts w:ascii="Calibri" w:hAnsi="Calibri" w:cs="Arial"/>
          <w:color w:val="000000"/>
          <w:lang w:val="ca-ES"/>
        </w:rPr>
        <w:t>era global i pluriennal, l'Acord de 9 de juny de 2016 i millorar-lo, sumant per a això noves mesures, així com també aplicar en la Comunitat Valenciana totes aquelles que regula la legislació bàsica estatal, esgotant les seues possibilitats màximes. Tot ai</w:t>
      </w:r>
      <w:r>
        <w:rPr>
          <w:rFonts w:ascii="Calibri" w:hAnsi="Calibri" w:cs="Arial"/>
          <w:color w:val="000000"/>
          <w:lang w:val="ca-ES"/>
        </w:rPr>
        <w:t xml:space="preserve">xò assumint, així mateix, el compromís de continuar treballant en el desenvolupament i millora dels drets del personal que presta serveis en l'àmbit de la Generalitat, des del convenciment que el nivell de qualitat dels serveis públics que es presten a la </w:t>
      </w:r>
      <w:r>
        <w:rPr>
          <w:rFonts w:ascii="Calibri" w:hAnsi="Calibri" w:cs="Arial"/>
          <w:color w:val="000000"/>
          <w:lang w:val="ca-ES"/>
        </w:rPr>
        <w:t>ciutadania s'incrementa si a això se sumen la millora i el reforç de la qualitat de l'ocupació pública, que afavoreix el seu reconeixement i el seu nivell de satisfacció i, com a conseqüència, també la millora de la gestió pública.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 w:cs="Arial"/>
          <w:color w:val="000000"/>
          <w:lang w:val="ca-ES"/>
        </w:rPr>
        <w:t>El punt quart de l’Acord</w:t>
      </w:r>
      <w:r>
        <w:rPr>
          <w:rFonts w:ascii="Calibri" w:hAnsi="Calibri" w:cs="Arial"/>
          <w:color w:val="000000"/>
          <w:lang w:val="ca-ES"/>
        </w:rPr>
        <w:t xml:space="preserve"> de 6 d'agost de 2021, del Consell, de ratificació de l'Acord de la Mesa General de Negociació del personal funcionari, estatutari i laboral (MGN I) de 29 de juliol de 2021, arreplega entre les mesures proposades la de Creació d'un «Programa temporal de ll</w:t>
      </w:r>
      <w:r>
        <w:rPr>
          <w:rFonts w:ascii="Calibri" w:hAnsi="Calibri" w:cs="Arial"/>
          <w:color w:val="000000"/>
          <w:lang w:val="ca-ES"/>
        </w:rPr>
        <w:t>uita contra la bretxa salarial i racionalització i millora de la classificació de llocs», que implica que en els pròxims tres anys (2022, 2023 i 2024) es consignarà en els pressupostos una dotació amb la finalitat de lluitar contra la bretxa salarial i rac</w:t>
      </w:r>
      <w:r>
        <w:rPr>
          <w:rFonts w:ascii="Calibri" w:hAnsi="Calibri" w:cs="Arial"/>
          <w:color w:val="000000"/>
          <w:lang w:val="ca-ES"/>
        </w:rPr>
        <w:t>ionalitzar els desfasaments en les classificacions i taules retributives sobre els complements específics del personal. S'establiran diferents línies d'actuació per a, per una banda incrementar les assignacions del complement específic, incrementar les ret</w:t>
      </w:r>
      <w:r>
        <w:rPr>
          <w:rFonts w:ascii="Calibri" w:hAnsi="Calibri" w:cs="Arial"/>
          <w:color w:val="000000"/>
          <w:lang w:val="ca-ES"/>
        </w:rPr>
        <w:t xml:space="preserve">ribucions dels llocs de treball que exerceixen professionals de les denominades «feminitzades» i </w:t>
      </w:r>
      <w:proofErr w:type="spellStart"/>
      <w:r>
        <w:rPr>
          <w:rFonts w:ascii="Calibri" w:hAnsi="Calibri" w:cs="Arial"/>
          <w:color w:val="000000"/>
          <w:lang w:val="ca-ES"/>
        </w:rPr>
        <w:t>infraclassificades</w:t>
      </w:r>
      <w:proofErr w:type="spellEnd"/>
      <w:r>
        <w:rPr>
          <w:rFonts w:ascii="Calibri" w:hAnsi="Calibri" w:cs="Arial"/>
          <w:color w:val="000000"/>
          <w:lang w:val="ca-ES"/>
        </w:rPr>
        <w:t>, a fi d'homologar-les amb els llocs de treball que exerceixen funcions i responsabilitats similars i equiparar les retribucions complementàr</w:t>
      </w:r>
      <w:r>
        <w:rPr>
          <w:rFonts w:ascii="Calibri" w:hAnsi="Calibri" w:cs="Arial"/>
          <w:color w:val="000000"/>
          <w:lang w:val="ca-ES"/>
        </w:rPr>
        <w:t>ies dels llocs de treball corresponents als mateixos grups/subgrups o APF, entre altres actuacions.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 w:cs="Arial"/>
          <w:color w:val="000000"/>
          <w:lang w:val="ca-ES"/>
        </w:rPr>
        <w:t>Amb la finalitat d'harmonitzar les condicions essencials de treball i retributives, del personal que ocupa llocs de treball docents o no docents d’atenció e</w:t>
      </w:r>
      <w:r>
        <w:rPr>
          <w:rFonts w:ascii="Calibri" w:hAnsi="Calibri" w:cs="Arial"/>
          <w:color w:val="000000"/>
          <w:lang w:val="ca-ES"/>
        </w:rPr>
        <w:t>ducativa corresponents als mateixos grups/subgrups, en centres educatius de la mateixa tipologia i amb la mateixa càrrega laboral, que exerceixen funcions i responsabilitats similars, es proposa: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 w:cs="Arial"/>
          <w:b/>
          <w:bCs/>
          <w:color w:val="000000"/>
          <w:lang w:val="ca-ES"/>
        </w:rPr>
        <w:t xml:space="preserve">1. </w:t>
      </w:r>
      <w:r>
        <w:rPr>
          <w:rFonts w:ascii="Calibri" w:hAnsi="Calibri"/>
          <w:b/>
          <w:bCs/>
          <w:lang w:val="ca-ES"/>
        </w:rPr>
        <w:t>Implantació d’un complement específic per al personal doc</w:t>
      </w:r>
      <w:r>
        <w:rPr>
          <w:rFonts w:ascii="Calibri" w:hAnsi="Calibri"/>
          <w:b/>
          <w:bCs/>
          <w:lang w:val="ca-ES"/>
        </w:rPr>
        <w:t>ent del cos de mestres que exerceix un càrrec de tutoria</w:t>
      </w:r>
      <w:r>
        <w:rPr>
          <w:rFonts w:ascii="Calibri" w:hAnsi="Calibri"/>
          <w:lang w:val="ca-ES"/>
        </w:rPr>
        <w:t xml:space="preserve"> en educació infantil, educació primària i educació especial, que s’incrementarà cada any mentre </w:t>
      </w:r>
      <w:proofErr w:type="spellStart"/>
      <w:r>
        <w:rPr>
          <w:rFonts w:ascii="Calibri" w:hAnsi="Calibri"/>
          <w:lang w:val="ca-ES"/>
        </w:rPr>
        <w:t>dure</w:t>
      </w:r>
      <w:proofErr w:type="spellEnd"/>
      <w:r>
        <w:rPr>
          <w:rFonts w:ascii="Calibri" w:hAnsi="Calibri"/>
          <w:lang w:val="ca-ES"/>
        </w:rPr>
        <w:t xml:space="preserve"> el Programa.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/>
          <w:lang w:val="ca-ES"/>
        </w:rPr>
        <w:t>L’aplicació d’aquesta mesura podrà fer-se de manera progressiva durant els tres exerc</w:t>
      </w:r>
      <w:r>
        <w:rPr>
          <w:rFonts w:ascii="Calibri" w:hAnsi="Calibri"/>
          <w:lang w:val="ca-ES"/>
        </w:rPr>
        <w:t>icis que té de duració aquest programa, d’una d’aquestes dos formes: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/>
          <w:b/>
          <w:bCs/>
          <w:lang w:val="ca-ES"/>
        </w:rPr>
        <w:t xml:space="preserve">A) </w:t>
      </w:r>
      <w:r>
        <w:rPr>
          <w:rFonts w:ascii="Calibri" w:hAnsi="Calibri"/>
          <w:lang w:val="ca-ES"/>
        </w:rPr>
        <w:t>Aplicació a tot el personal del cos de mestres que exerceix el càrrec de tutoria en educació infantil, educació primària o educació especial. A aquest personal se'ls assignarà un nou c</w:t>
      </w:r>
      <w:r>
        <w:rPr>
          <w:rFonts w:ascii="Calibri" w:hAnsi="Calibri"/>
          <w:lang w:val="ca-ES"/>
        </w:rPr>
        <w:t>oncepte retributiu l'import del qual es determinarà amb la quantitat total destinada al sector d’Educació.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/>
          <w:lang w:val="ca-ES"/>
        </w:rPr>
        <w:lastRenderedPageBreak/>
        <w:t>Aquest complement s’incrementarà progressivament amb les dotacions corresponents als exercicis 2023 i 2024, i s’estabilitzarà en acabar el programa.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/>
          <w:lang w:val="ca-ES"/>
        </w:rPr>
        <w:t>ESTIMACIÓ APLICACIÓ MESURA:</w:t>
      </w:r>
    </w:p>
    <w:tbl>
      <w:tblPr>
        <w:tblW w:w="5220" w:type="dxa"/>
        <w:tblInd w:w="1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5"/>
        <w:gridCol w:w="1935"/>
      </w:tblGrid>
      <w:tr w:rsidR="004366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CURS 2022/2023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TUTORIES INFANTIL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4653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TUTORIES PRIMÀRIA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9637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TOTAL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14290</w:t>
            </w:r>
          </w:p>
        </w:tc>
      </w:tr>
    </w:tbl>
    <w:p w:rsidR="004366F8" w:rsidRDefault="004366F8">
      <w:pPr>
        <w:pStyle w:val="Standard"/>
        <w:rPr>
          <w:rFonts w:ascii="Calibri" w:hAnsi="Calibri"/>
        </w:rPr>
      </w:pPr>
    </w:p>
    <w:tbl>
      <w:tblPr>
        <w:tblW w:w="9690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305"/>
        <w:gridCol w:w="2305"/>
        <w:gridCol w:w="2305"/>
      </w:tblGrid>
      <w:tr w:rsidR="004366F8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4366F8" w:rsidRDefault="004366F8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EXERCICI 2022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EXERCICI 2023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EXERCICI 2024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66F8" w:rsidRDefault="001B5464">
            <w:pPr>
              <w:pStyle w:val="Standard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DOTACIÓ ESTIMADA: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66F8" w:rsidRDefault="001B5464">
            <w:pPr>
              <w:pStyle w:val="Standard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3.000.000,00 €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6.000.000,00 €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9.000.000,00 €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4366F8" w:rsidRDefault="004366F8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ESTIMACIÓ IMPORT COMPLEMENT CURS </w:t>
            </w:r>
            <w:r>
              <w:rPr>
                <w:rFonts w:ascii="Calibri" w:hAnsi="Calibri"/>
                <w:b/>
                <w:bCs/>
              </w:rPr>
              <w:t>2022/2023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ESTIMACIÓ IMPORT COMPLEMENT CURS 2023/2024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ESTIMACIÓ IMPORT COMPLEMENT CURS 2024/2025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ANUAL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209,94 €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419,87 €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629,81 €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MENSUAL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17,49 €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34,99 €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52,48 €</w:t>
            </w:r>
          </w:p>
        </w:tc>
      </w:tr>
    </w:tbl>
    <w:p w:rsidR="004366F8" w:rsidRDefault="004366F8">
      <w:pPr>
        <w:pStyle w:val="Standard"/>
        <w:rPr>
          <w:rFonts w:ascii="Calibri" w:hAnsi="Calibri"/>
        </w:rPr>
      </w:pPr>
    </w:p>
    <w:p w:rsidR="004366F8" w:rsidRDefault="004366F8">
      <w:pPr>
        <w:pStyle w:val="Standard"/>
        <w:spacing w:after="113" w:line="276" w:lineRule="auto"/>
        <w:jc w:val="both"/>
        <w:rPr>
          <w:rFonts w:ascii="Calibri" w:hAnsi="Calibri" w:cs="Arial"/>
          <w:b/>
          <w:bCs/>
          <w:color w:val="000000"/>
          <w:lang w:val="ca-ES"/>
        </w:rPr>
      </w:pP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 w:cs="Arial"/>
          <w:b/>
          <w:bCs/>
          <w:color w:val="000000"/>
          <w:lang w:val="ca-ES"/>
        </w:rPr>
        <w:t>B)</w:t>
      </w:r>
      <w:r>
        <w:rPr>
          <w:rFonts w:ascii="Calibri" w:hAnsi="Calibri" w:cs="Arial"/>
          <w:b/>
          <w:bCs/>
          <w:color w:val="000000"/>
          <w:lang w:val="ca-ES"/>
        </w:rPr>
        <w:t xml:space="preserve"> </w:t>
      </w:r>
      <w:r>
        <w:rPr>
          <w:rFonts w:ascii="Calibri" w:hAnsi="Calibri" w:cs="Arial"/>
          <w:color w:val="000000"/>
          <w:lang w:val="ca-ES"/>
        </w:rPr>
        <w:t>I</w:t>
      </w:r>
      <w:r>
        <w:rPr>
          <w:rFonts w:ascii="Calibri" w:hAnsi="Calibri"/>
          <w:lang w:val="ca-ES"/>
        </w:rPr>
        <w:t>mplantació progressiva per nivells d’ensenyament: En el curs 2022/2023 per al personal que exerceix tutories en educació infantil i en educació especial;</w:t>
      </w:r>
      <w:r>
        <w:rPr>
          <w:rFonts w:ascii="Calibri" w:hAnsi="Calibri"/>
          <w:lang w:val="ca-ES"/>
        </w:rPr>
        <w:t xml:space="preserve"> en el curs 2023/2024 per al personal que exerceix tutories en els tres primers cursos d’educació primària; i en el curs 2024/2025 per al personal que exerceix tutories en els tres últims cursos d’educació primària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/>
          <w:lang w:val="ca-ES"/>
        </w:rPr>
        <w:t xml:space="preserve">A tot el personal del cos de mestres que </w:t>
      </w:r>
      <w:r>
        <w:rPr>
          <w:rFonts w:ascii="Calibri" w:hAnsi="Calibri"/>
          <w:lang w:val="ca-ES"/>
        </w:rPr>
        <w:t>exerceix el càrrec de tutoria en educació infantil, educació primària o educació especial se'ls assignarà aquest nou concepte retributiu l'import del qual es determinarà amb la quantitat total destinada al sector d’Educació.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/>
          <w:lang w:val="ca-ES"/>
        </w:rPr>
        <w:t>Aquest complement s’implementa</w:t>
      </w:r>
      <w:r>
        <w:rPr>
          <w:rFonts w:ascii="Calibri" w:hAnsi="Calibri"/>
          <w:lang w:val="ca-ES"/>
        </w:rPr>
        <w:t>rà de manera progressiva amb les dotacions corresponents als exercicis 2022, 2023 i 2024, i s’estabilitzarà per a tots els nivells d’aquests ensenyaments en acabar el programa.</w:t>
      </w:r>
    </w:p>
    <w:p w:rsidR="004366F8" w:rsidRDefault="001B5464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  <w:r>
        <w:rPr>
          <w:rFonts w:ascii="Calibri" w:hAnsi="Calibri"/>
          <w:lang w:val="ca-ES"/>
        </w:rPr>
        <w:t>ESTIMACIÓ APLICACIÓ MESURA:</w:t>
      </w:r>
    </w:p>
    <w:tbl>
      <w:tblPr>
        <w:tblW w:w="5880" w:type="dxa"/>
        <w:tblInd w:w="1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0"/>
        <w:gridCol w:w="2220"/>
      </w:tblGrid>
      <w:tr w:rsidR="004366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CURS 2022/2023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TUTORIES INFANTIL I ED. </w:t>
            </w:r>
            <w:r>
              <w:rPr>
                <w:rFonts w:ascii="Calibri" w:hAnsi="Calibri"/>
              </w:rPr>
              <w:t>ESPECIAL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4841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TUTORIES 1R, 2N I 3R PRIMÀRIA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4725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TUTORIES 4T, 5É I 6É PRIMÀRIA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4724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TOTAL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14290</w:t>
            </w:r>
          </w:p>
        </w:tc>
      </w:tr>
    </w:tbl>
    <w:p w:rsidR="004366F8" w:rsidRDefault="004366F8">
      <w:pPr>
        <w:pStyle w:val="Standard"/>
        <w:rPr>
          <w:rFonts w:ascii="Calibri" w:hAnsi="Calibri"/>
        </w:rPr>
      </w:pPr>
    </w:p>
    <w:tbl>
      <w:tblPr>
        <w:tblW w:w="9690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305"/>
        <w:gridCol w:w="2305"/>
        <w:gridCol w:w="2305"/>
      </w:tblGrid>
      <w:tr w:rsidR="004366F8">
        <w:tblPrEx>
          <w:tblCellMar>
            <w:top w:w="0" w:type="dxa"/>
            <w:bottom w:w="0" w:type="dxa"/>
          </w:tblCellMar>
        </w:tblPrEx>
        <w:tc>
          <w:tcPr>
            <w:tcW w:w="277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4366F8" w:rsidRDefault="004366F8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EXERCICI 2022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EXERCICI 2023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EXERCICI 2024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66F8" w:rsidRDefault="001B5464">
            <w:pPr>
              <w:pStyle w:val="Standard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DOTACIÓ ESTIMADA: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66F8" w:rsidRDefault="001B5464">
            <w:pPr>
              <w:pStyle w:val="Standard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3.000.000,00 €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6.000.000,00 €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9.000.000,00 €</w:t>
            </w:r>
          </w:p>
        </w:tc>
      </w:tr>
    </w:tbl>
    <w:p w:rsidR="004366F8" w:rsidRDefault="004366F8">
      <w:pPr>
        <w:pStyle w:val="Standard"/>
        <w:rPr>
          <w:rFonts w:ascii="Calibri" w:hAnsi="Calibri"/>
        </w:rPr>
      </w:pPr>
    </w:p>
    <w:tbl>
      <w:tblPr>
        <w:tblW w:w="5850" w:type="dxa"/>
        <w:tblInd w:w="18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0"/>
        <w:gridCol w:w="2220"/>
      </w:tblGrid>
      <w:tr w:rsidR="004366F8">
        <w:tblPrEx>
          <w:tblCellMar>
            <w:top w:w="0" w:type="dxa"/>
            <w:bottom w:w="0" w:type="dxa"/>
          </w:tblCellMar>
        </w:tblPrEx>
        <w:tc>
          <w:tcPr>
            <w:tcW w:w="585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ESTIMACIÓ IMPORT COMPLEMENT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ANUAL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629,81 €</w:t>
            </w:r>
          </w:p>
        </w:tc>
      </w:tr>
      <w:tr w:rsidR="004366F8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MENSUAL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6F8" w:rsidRDefault="001B5464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52,48 €</w:t>
            </w:r>
          </w:p>
        </w:tc>
      </w:tr>
    </w:tbl>
    <w:p w:rsidR="004366F8" w:rsidRDefault="004366F8">
      <w:pPr>
        <w:pStyle w:val="Standard"/>
        <w:spacing w:after="113" w:line="276" w:lineRule="auto"/>
        <w:jc w:val="both"/>
        <w:rPr>
          <w:rFonts w:ascii="Calibri" w:hAnsi="Calibri" w:cs="Arial"/>
          <w:color w:val="000000"/>
          <w:lang w:val="ca-ES"/>
        </w:rPr>
      </w:pPr>
    </w:p>
    <w:sectPr w:rsidR="004366F8">
      <w:pgSz w:w="11906" w:h="16838"/>
      <w:pgMar w:top="96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464" w:rsidRDefault="001B5464">
      <w:r>
        <w:separator/>
      </w:r>
    </w:p>
  </w:endnote>
  <w:endnote w:type="continuationSeparator" w:id="0">
    <w:p w:rsidR="001B5464" w:rsidRDefault="001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464" w:rsidRDefault="001B5464">
      <w:r>
        <w:rPr>
          <w:color w:val="000000"/>
        </w:rPr>
        <w:separator/>
      </w:r>
    </w:p>
  </w:footnote>
  <w:footnote w:type="continuationSeparator" w:id="0">
    <w:p w:rsidR="001B5464" w:rsidRDefault="001B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66F8"/>
    <w:rsid w:val="001B5464"/>
    <w:rsid w:val="004366F8"/>
    <w:rsid w:val="009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2C1774A-880E-2B47-8569-5C98F447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85"/>
      <w:jc w:val="center"/>
    </w:pPr>
    <w:rPr>
      <w:rFonts w:ascii="Arial" w:eastAsia="Arial" w:hAnsi="Arial" w:cs="Arial"/>
      <w:lang w:val="ca-ES" w:eastAsia="ca-ES" w:bidi="ca-E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Propostes%20redistribuci&#243;%200,3%25%202021_CECE_informe%20final.odt/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BARONA HERNANDEZ, ALEJANDRO JOSE</cp:lastModifiedBy>
  <cp:revision>2</cp:revision>
  <cp:lastPrinted>2022-12-12T18:39:00Z</cp:lastPrinted>
  <dcterms:created xsi:type="dcterms:W3CDTF">2022-12-13T09:29:00Z</dcterms:created>
  <dcterms:modified xsi:type="dcterms:W3CDTF">2022-12-13T09:29:00Z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